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دراسة الجدوى البنك في التعرف على ظروف البيئة و أحوالها التي يعمل فيها المشروع من خلال المعلومات المتاحة ،</w:t>
      </w:r>
    </w:p>
    <w:p>
      <w:pPr/>
      <w:r>
        <w:rPr>
          <w:shd w:val="clear" w:fill="eeee80"/>
        </w:rPr>
        <w:t xml:space="preserve">كما يجدر الإشارة إلى أن هناك أوجه تشابه كثيرة بين أساليب التحليل الائتماني التي يقوم بها البنك بغرض منح الائتمان المصرفي و أساليب التحليل في دراسات الجدوى الاقتصادية</w:t>
      </w:r>
    </w:p>
    <w:p>
      <w:pPr/>
      <w:r>
        <w:rPr>
          <w:shd w:val="clear" w:fill="eeee80"/>
        </w:rPr>
        <w:t xml:space="preserve">كلاهما يتأكد من قدرة العميل على سداد القرض في المواعيد المحددة ( قياس الجدارة الائتمانية)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2026-10-20T08:19:44+00:00</dcterms:created>
  <dcterms:modified xsi:type="dcterms:W3CDTF">2026-10-20T08:19:44+00:00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