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يتلخص مفهوم الاستمطار الصناعي بأنه يقوم على فكرة تعديل الطقس عن طريق نشر مواد عضوية صديقة للبيئة مثل كلوريد الصوديوم أو الثلج المخفف،</w:t>
      </w:r>
    </w:p>
    <w:p>
      <w:pPr/>
      <w:r>
        <w:rPr>
          <w:shd w:val="clear" w:fill="eeee80"/>
        </w:rPr>
        <w:t xml:space="preserve"> يعمل الاستمطار على تغيير نوع هطول الأمطار أو كميتها،</w:t>
      </w:r>
    </w:p>
    <w:p>
      <w:pPr/>
      <w:r>
        <w:rPr/>
        <w:t xml:space="preserve"> يتم ذلك بواسطة تشتيت المواد التي تعمل كنوى جليدية أو مكثفات في السحب،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2026-08-20T03:56:07+00:00</dcterms:created>
  <dcterms:modified xsi:type="dcterms:W3CDTF">2026-08-20T03:56:07+00:00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