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ولا يمكن القانون أن يواكب تطور علماء الحاسوب حيث يلاحظ أن معظم التشريعات العربية والعالمية لم تعـالج هذا الموضوع بنصوص خاصة وإنما جاءت ضمن النصوص الواردة على حق المؤلـف مـع الفرق الكبير ما بين برامج الحاسب الآلي و المؤلفات الأدبية وغيرها مما ينـدرج تحـت بـاب حقوق المؤلف ذلك أن هذه البرامج أصبحت الآن هي الأساس التي تبنى عليها الدول المتقدمـة وهي الوسيلة التي من خلالها يمكن للدول النامية ودول العالم الثالث اللحاق بركـب الحضـارة العالمية ومسايرة التطورات التكنولوجية الهائلة التي يشهدها العالم يوماً بعد يوم بتسارع منقطـع النظير .     ومن أهم المسائل القانونية التي أثارها استخدام الحاسب الآلي كما ذكرنا أعـلاه هـو: تحديد ماهية برامج الحاسب الآلي وطبيعتها القانونية وهل هي مصنفات قابلة للحماية عن طريق قانون حق المؤلف، وتطور هذه الصور الى درجه لم تعد فيه أشد البرامج تعقيداً وتطـوراً محميـة مـن الاستنساخ غير المشروع وغير القانوني وبتكاليف منخفضة، ونتيجة ذلك تم اعتبار أن برامج الحاسوب الآلي يتم حمايته ضمن حقوق المؤلف فقد أقر المشرع الجزائري مسايرة غيره من التشريعات لحماية برامج الحاسوب الآلي ضمن حقوق المؤلف بموجب الأمر    05-03 المتعلق بحقوق المؤلف والحقوق المجاورة.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2026-10-01T09:14:57+00:00</dcterms:created>
  <dcterms:modified xsi:type="dcterms:W3CDTF">2026-10-01T09:14:57+00:00</dcterms:modified>
</cp:coreProperties>
</file>

<file path=docProps/custom.xml><?xml version="1.0" encoding="utf-8"?>
<Properties xmlns="http://schemas.openxmlformats.org/officeDocument/2006/custom-properties" xmlns:vt="http://schemas.openxmlformats.org/officeDocument/2006/docPropsVTypes"/>
</file>