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يمكن إنكار ان التجربة الحسية المعاشة تسمح للإنسان باكتشاف موضوع ميله،</w:t>
      </w:r>
    </w:p>
    <w:p>
      <w:pPr/>
      <w:r>
        <w:rPr/>
        <w:t xml:space="preserve"> وقد أخطأ التجريبي ن عندما ساووا بين الحاجات وهي ميول عضوية تولد مع الإنسان لحفظ حياته ونموه وبين الرغبات التي تعبر عن ميول واعية يدرك صاحبها غاياتها ونتيجة اشباعها.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2026-10-09T00:38:23+00:00</dcterms:created>
  <dcterms:modified xsi:type="dcterms:W3CDTF">2026-10-09T00:38:23+00:00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