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مهرجان موازين ـ إيقاعات العالم (Mawazine – Rythmes du Monde)  يشمل عروضاً لموسيقى متنوعة (عربية، من خصائصه: يغطي عدة مسارح وأماكن في الرباط،  ويحضره عدد كبير من الجمهور،  كما جزء منه تكون الدخول مجانيًّا لشرائح واسعة من الناس. مهرجان فنون الشارع،  الجداريات، يقام عادة في شهر مايو،  جولات فنية في الأحياء لاكتشاف الجداريات. 3. Jazz au Chellah  يُقام في موقع “الشّلاه” الأثري بمدينة الرباط. عادة ما يكون في فصل الخريف،  لعْدة أيام، مهرجان يجمع بين الموسيقى وفن العروض،  لقاءات وورش عمل مهنية في صناعة الموسيقى. 5. معرض الرباط الدولي للكتاب (Salon international de l’édition et du livre / المعرض الدولي للكتاب)  النشر،  تجمع الناشرين والمؤلفين والقرّاء.  الأنمي،  الكوسبلاي،  والتجارب المرتبطة بالثقافة اليابانية.  تُنظم في الرباط (وأيضًا في الدار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