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ورشة خاصة بالعلاج السلوكي للتبول اللاارادي</w:t>
      </w:r>
    </w:p>
    <w:p>
      <w:pPr/>
      <w:r>
        <w:rPr>
          <w:shd w:val="clear" w:fill="eeee80"/>
        </w:rPr>
        <w:t xml:space="preserve">٣. محكات تشخيص التبول اللاارادي</w:t>
      </w:r>
    </w:p>
    <w:p>
      <w:pPr/>
      <w:r>
        <w:rPr>
          <w:shd w:val="clear" w:fill="eeee80"/>
        </w:rPr>
        <w:t xml:space="preserve">٧. العلاج السلوكي للتبول اللاارادي</w:t>
      </w:r>
    </w:p>
    <w:p>
      <w:pPr/>
      <w:r>
        <w:rPr>
          <w:shd w:val="clear" w:fill="eeee80"/>
        </w:rPr>
        <w:t xml:space="preserve">٨. برنامج علاجي سلوكي تفصيلي لحالات التبول اللاارادي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2026-09-16T05:16:03+00:00</dcterms:created>
  <dcterms:modified xsi:type="dcterms:W3CDTF">2026-09-16T05:16:03+00:00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