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الاستثمار الأجنبي المباشر Direct Foreign Investment هو استخدام الريادي</w:t>
      </w:r>
    </w:p>
    <w:p>
      <w:pPr/>
      <w:r>
        <w:rPr>
          <w:shd w:val="clear" w:fill="eeee80"/>
        </w:rPr>
        <w:t xml:space="preserve">الاستثمار المباشر للأموال المادية مثل: المعدات والمصانع في أسواق البلد الأجنبي،</w:t>
      </w:r>
    </w:p>
    <w:p>
      <w:pPr/>
      <w:r>
        <w:rPr/>
        <w:t xml:space="preserve"> ويعتمد ذلك على الخبرات الأجنبية، وطبيعة الصناعة، وقوانين الحكومات المضيفة.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2026-09-21T21:40:52+00:00</dcterms:created>
  <dcterms:modified xsi:type="dcterms:W3CDTF">2026-09-21T21:40:52+00:00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