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Radio remains a vital communication tool, even in the digital age.Communication strategies need to ensure warnings reach marginalized groups, such as the elderly, disabled, and low-income residents who may lack access to communication technologies.Despite the National Meteorological Service knowing about Otis and its trajectory since October 22nd, the hurricane's rapid intensification from a tropical storm to a Category 5 in just 12 hours caught the city off guard.According to Article 19, Mexican authorities failed to provide clear and timely information on the magnitude of Otis, leaving the population unable to make informed decisions and prepare.Warnings should be disseminated through multiple platforms and technologies to reach the widest audience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