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most clinical settings, the eye care practitioner makes a qualitative assessment of an infant's vision, based on his or her ability to show steady fixation of a target and to follow the target using smooth pursuit movements.</w:t>
      </w:r>
    </w:p>
    <w:p>
      <w:pPr/>
      <w:r>
        <w:rPr/>
        <w:t xml:space="preserve"> However, the ability to fix and follow does not necessarily indicate normal visual acuity, since many older children with 20/200 or worse visual acuity fix and follow well (Day, 1990). Similarly, failure to show normal fixation and following shortly after birth is not necessarily predictive of a later visual deficit but may simply be an indicator of delayed visual maturation (Fielder et al., 1985; Illingworth, 1961).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2026-10-04T12:42:06+00:00</dcterms:created>
  <dcterms:modified xsi:type="dcterms:W3CDTF">2026-10-04T12:42:06+00:00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