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Treatment: Treatment usually involves antibiotics to fight the infection.</w:t>
      </w:r>
    </w:p>
    <w:p>
      <w:pPr/>
      <w:r>
        <w:rPr/>
        <w:t xml:space="preserve"> The choice of antibiotic and duration of treatment depend on the specific bacteria involved and the severity of the infection. In some cases, surgical intervention may be necessary to drain abscesses or remove necrotic bone tissue.Common Sites: In children, osteomyelitis often affects the long bones of the arms and legs, such as the femur, tibia, and humerus.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2026-09-13T20:28:43+00:00</dcterms:created>
  <dcterms:modified xsi:type="dcterms:W3CDTF">2026-09-13T20:28:43+00:00</dcterms:modified>
</cp:coreProperties>
</file>

<file path=docProps/custom.xml><?xml version="1.0" encoding="utf-8"?>
<Properties xmlns="http://schemas.openxmlformats.org/officeDocument/2006/custom-properties" xmlns:vt="http://schemas.openxmlformats.org/officeDocument/2006/docPropsVTypes"/>
</file>