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Garth committed a number of serious errors throughout the Blue Sky Project, which ultimately influenced his involvement at the Eastern Oceanography Institute (EOI).Inadequate Communication and Team Cohesion: Another obstacle was Garth's failure to communicate openly with his team, especially with respect to before the intersection of Blue Sky.In contrast with Tom, who proactively fostered relationships in the institute, Garth fled to his office and limited himself to interaction with coworkers only when necessitated.Lack of Proactive Problem-Solving: When technical issues arose, such as a graduate assistant mistakenly deleting important data, Tom took the initiative to develop a warning system to prevent future errors.Meanwhile, Garth remained focused on technical configurations rather than addressing operational challenges that impacted daily workflow.Risky Decision-Making in Vendor Selection: Garth's choice of OpenRange as the cloud service provider was based primarily on cost savings, disregarding concerns about security and reliability.Tom had argued in favor of larger, well-established providers like VMware or Microsoft, which would have provided more stability.These incidents reinforced doubts about whether the right provider was chosen.1.2.3.4.5.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