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المعايير التي يمكن تبنيها في عملية التقويم للسياسة العامة،</w:t>
      </w:r>
    </w:p>
    <w:p>
      <w:pPr/>
      <w:r>
        <w:rPr/>
        <w:t xml:space="preserve"> وتتجسد أصلاً تلك الأنواع المختلفة للتقويم،</w:t>
      </w:r>
    </w:p>
    <w:p>
      <w:pPr/>
      <w:r>
        <w:rPr>
          <w:shd w:val="clear" w:fill="eeee80"/>
        </w:rPr>
        <w:t xml:space="preserve"> حيث إن أغلب الدراسات التي اهتمت بهذا الموضوع لم تعتمد في عملية التقويم على معيار واحد أو مقياس محدد بذاته،</w:t>
      </w:r>
    </w:p>
    <w:p>
      <w:pPr/>
      <w:r>
        <w:rPr/>
        <w:t xml:space="preserve"> وإنما على مجموعة معايير في متلازمة،</w:t>
      </w:r>
    </w:p>
    <w:p>
      <w:pPr/>
      <w:r>
        <w:rPr>
          <w:shd w:val="clear" w:fill="eeee80"/>
        </w:rPr>
        <w:t xml:space="preserve"> بما يضمن لها استيعاباً كلياً وشمولياً لتقويم برامج السياسة العامة،</w:t>
      </w:r>
    </w:p>
    <w:p>
      <w:pPr/>
      <w:r>
        <w:rPr/>
        <w:t xml:space="preserve">دراسة موضوعية تأخذ بتعددية الأسباب،</w:t>
      </w:r>
    </w:p>
    <w:p>
      <w:pPr/>
      <w:r>
        <w:rPr>
          <w:shd w:val="clear" w:fill="eeee80"/>
        </w:rPr>
        <w:t xml:space="preserve"> واختلاف الحالات والظواهر التي ترتبط وتتعلق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2026-10-08T10:44:49+00:00</dcterms:created>
  <dcterms:modified xsi:type="dcterms:W3CDTF">2026-10-08T10:44:49+00:00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