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symptoms and subtypes of GBSGBS is characterized by a rapidly progressive, symmet- rical weakness of the limbs in combination with hypo- reflexia or areflexia.2,4,73 However, GBS is highly diverse with respect to the presence, distribution and extent of cranial nerve deficits, sensory symptoms, weakness, ataxia, pain, autonomic dysfunction, and the course of the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