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Causes• An imbalance between the creation and resorption of bone leads to osteoporosis. Non-modifiable factors include genetic predisposition (e.g., *LRP5* gene mutations), aging, andmenopause (e.g., estrogen depletion causing osteoclast activity). Smoking, excessive alcoholuse, sedentary lifestyles, and insufficient calcium and vitamin D intake are modifiable factorsthat affect bone remodeling.• Secondary causes include long-term conditions like rheumatoid arthritis andhyperthyroidism, as well as drugs like proton pump inhibitors, which lower calciumabsorption, and glucocorticoids, which suppress osteoblasts. </w:t>
      </w:r>
    </w:p>
    <w:p>
      <w:pPr/>
      <w:r>
        <w:rPr>
          <w:shd w:val="clear" w:fill="eeee80"/>
        </w:rPr>
        <w:t xml:space="preserve">Hormonal abnormalities (suchas hyperparathyroidism) or prolonged immobility can cause weaken bones.</w:t>
      </w:r>
    </w:p>
    <w:p>
      <w:pPr/>
      <w:r>
        <w:rPr/>
        <w:t xml:space="preserve">• Fracture risk is increased by several conditions, which also alter microarchitecture anddecrease bone mineral density. Prevention depends on the early detection of reversiblecauses.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2026-08-31T01:13:44+00:00</dcterms:created>
  <dcterms:modified xsi:type="dcterms:W3CDTF">2026-08-31T01:13:44+00:00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