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يجب أن يكون الجنس والقدر معروفين،</w:t>
      </w:r>
    </w:p>
    <w:p>
      <w:pPr/>
      <w:r>
        <w:rPr>
          <w:shd w:val="clear" w:fill="eeee80"/>
        </w:rPr>
        <w:t xml:space="preserve"> لأن جهالتهما تفسد العقد.</w:t>
      </w:r>
    </w:p>
    <w:p>
      <w:pPr/>
      <w:r>
        <w:rPr>
          <w:shd w:val="clear" w:fill="eeee80"/>
        </w:rPr>
        <w:t xml:space="preserve"> مثل قوله: "من رد مالي أو ضالتي،</w:t>
      </w:r>
    </w:p>
    <w:p>
      <w:pPr/>
      <w:r>
        <w:rPr>
          <w:shd w:val="clear" w:fill="eeee80"/>
        </w:rPr>
        <w:t xml:space="preserve"> فله ثوب أو أعطيه شيئاً"،</w:t>
      </w:r>
    </w:p>
    <w:p>
      <w:pPr/>
      <w:r>
        <w:rPr>
          <w:shd w:val="clear" w:fill="eeee80"/>
        </w:rPr>
        <w:t xml:space="preserve"> لأن الجعالة تعتبر عقداً معاوضياً،</w:t>
      </w:r>
    </w:p>
    <w:p>
      <w:pPr/>
      <w:r>
        <w:rPr>
          <w:shd w:val="clear" w:fill="eeee80"/>
        </w:rPr>
        <w:t xml:space="preserve"> ولا تصح بعوض غير معلوم كما هو الحال في النكاح.</w:t>
      </w:r>
    </w:p>
    <w:p>
      <w:pPr/>
      <w:r>
        <w:rPr>
          <w:shd w:val="clear" w:fill="eeee80"/>
        </w:rPr>
        <w:t xml:space="preserve"> كما أنه لا حاجة لجهالة العوض،</w:t>
      </w:r>
    </w:p>
    <w:p>
      <w:pPr/>
      <w:r>
        <w:rPr>
          <w:shd w:val="clear" w:fill="eeee80"/>
        </w:rPr>
        <w:t xml:space="preserve"> لأن عدم معرفة العوض قد يؤدي إلى فقدان الهدف من العقد،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2026-09-08T19:19:29+00:00</dcterms:created>
  <dcterms:modified xsi:type="dcterms:W3CDTF">2026-09-08T19:19:29+00:00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