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وبالرجوع للمثال السابق الخاص بمشكلة هدر الطاقة الكهربائية في المدرسة يلاحظ بأنه جرى حصر بدائل المعالجة في جانبين فقط وهما: الجانب الفني تركيب نظام الاستثمار الذكي والجانب التشغيلي تكليف طالب في يوم فقط من كل شهر ليتولى مسؤولية إغلاق المصابيح إلا أن الجوانب الإبداعية تظهر دائما في التقنية،</w:t>
      </w:r>
    </w:p>
    <w:p>
      <w:pPr/>
      <w:r>
        <w:rPr/>
        <w:t xml:space="preserve"> وبالتالي قد يقترح أحد الطلاب تصميم تطبيق إلكتروني على شكل مؤقت زمني يضبط فترة الدوام الرسمي فقط من الساعة 6 صباحا حتى الساعة 3 ظهرا،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2026-09-26T09:28:51+00:00</dcterms:created>
  <dcterms:modified xsi:type="dcterms:W3CDTF">2026-09-26T09:28:51+00:00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