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/><w:t xml:space="preserve">https://cdn.fbsbx.com/v/t59.2708-21/91558692_2997158977013536_7886828899248635904_n.pdf/marketr.pdf?_nc_cat=110&_nc_sid=0cab14&_nc_eui2=AeHciR2v5BS680AdP0CbtJb2oy2Enk8V41i44uvJs4TGpcwPWCkyuH1nL4dpeiKBrBfl-MLguBNgVcxhEXheh7we&_nc_oc=AQnuLPgz24tniuwNE9F6C7NuavvL7uhdXq0VcOmCPKH6iY8EOJze0aPxBRwcI6dC1Ledsbhz9b0VX6JAfNOH3K7Q&_nc_ht=cdn.fbsbx.com&oh=2cd26239106cbca99c8db6e4882d6a4b&oe=5E86C381&dl=1</w:t></w:r></w:p><w:sectPr><w:footerReference w:type="default" r:id="rId7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2026-08-24T15:06:23+00:00</dcterms:created>
  <dcterms:modified xsi:type="dcterms:W3CDTF">2026-08-24T15:06:23+00:00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