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تتمحور إشكالية هذه البحث حول التحول الرقمي المتسارع وحاجة المؤسسات إلى أدوات ذكية لمواكبة توقعات العملاء المتزايدة،</w:t>
      </w:r>
    </w:p>
    <w:p>
      <w:pPr/>
      <w:r>
        <w:rPr>
          <w:shd w:val="clear" w:fill="eeee80"/>
        </w:rPr>
        <w:t xml:space="preserve"> تهدف الدراسة إلى تسليط الضوء على دور تقنيات الذكاء الاصطناعي (AI) في إعادة هندسة رحلة العميل وتحويلها من مجرد عمليات بيعية تقليدية إلى تجارب وجدانية مخصصة،</w:t>
      </w:r>
    </w:p>
    <w:p>
      <w:pPr/>
      <w:r>
        <w:rPr>
          <w:shd w:val="clear" w:fill="eeee80"/>
        </w:rPr>
        <w:t xml:space="preserve"> وتكمن أهمية البحث في كونه يقدم إطاراً نظرياً يربط بين خوارزميات التعلم الآلي وبين المفاهيم التسويقية الحديثة مثل "الجهد المنخفض" و"التخصيص الفائق".</w:t>
      </w:r>
    </w:p>
    <w:p>
      <w:pPr/>
      <w:r>
        <w:rPr>
          <w:shd w:val="clear" w:fill="eeee80"/>
        </w:rPr>
        <w:t xml:space="preserve">اعتمدت الدراسة على المنهج الوصفي التحليلي،</w:t>
      </w:r>
    </w:p>
    <w:p>
      <w:pPr/>
      <w:r>
        <w:rPr>
          <w:shd w:val="clear" w:fill="eeee80"/>
        </w:rPr>
        <w:t xml:space="preserve"> من خلال استعراض الأدبيات السابقة وتحليل النماذج العالمية الرائدة،</w:t>
      </w:r>
    </w:p>
    <w:p>
      <w:pPr/>
      <w:r>
        <w:rPr>
          <w:shd w:val="clear" w:fill="eeee80"/>
        </w:rPr>
        <w:t xml:space="preserve"> وقد تم تقسيم البحث إلى محاور رئيسية شملت: ماهية الذكاء الاصطناعي،</w:t>
      </w:r>
    </w:p>
    <w:p>
      <w:pPr/>
      <w:r>
        <w:rPr>
          <w:shd w:val="clear" w:fill="eeee80"/>
        </w:rPr>
        <w:t xml:space="preserve"> أدوات التنبؤ بسلوك المستهلك،</w:t>
      </w:r>
    </w:p>
    <w:p>
      <w:pPr/>
      <w:r>
        <w:rPr>
          <w:shd w:val="clear" w:fill="eeee80"/>
        </w:rPr>
        <w:t xml:space="preserve"> وتحليل المشاعر كأداة لفهم الانطباعات العاطفية.</w:t>
      </w:r>
    </w:p>
    <w:p>
      <w:pPr/>
      <w:r>
        <w:rPr>
          <w:shd w:val="clear" w:fill="eeee80"/>
        </w:rPr>
        <w:t xml:space="preserve">وقد خلصت الدراسة إلى مجموعة من النتائج أهمها:</w:t>
      </w:r>
    </w:p>
    <w:p>
      <w:pPr/>
      <w:r>
        <w:rPr>
          <w:shd w:val="clear" w:fill="eeee80"/>
        </w:rPr>
        <w:t xml:space="preserve">1.	أن الذكاء الاصطناعي يساهم في رفع "القيمة الحياتية للعميل" من خلال تقديم حلول استباقية قبل ظهور المشكلة.</w:t>
      </w:r>
    </w:p>
    <w:p>
      <w:pPr/>
      <w:r>
        <w:rPr>
          <w:shd w:val="clear" w:fill="eeee80"/>
        </w:rPr>
        <w:t xml:space="preserve">2.	قدرة التحليلات التنبؤية على خفض "مؤشر جهد العميل" (CES) عبر تبسيط عمليات البحث والاختيار.</w:t>
      </w:r>
    </w:p>
    <w:p>
      <w:pPr/>
      <w:r>
        <w:rPr>
          <w:shd w:val="clear" w:fill="eeee80"/>
        </w:rPr>
        <w:t xml:space="preserve">3.	وجود علاقة طردية بين التخصيص الفائق وبين تعزيز الولاء الرقمي.</w:t>
      </w:r>
    </w:p>
    <w:p>
      <w:pPr/>
      <w:r>
        <w:rPr/>
        <w:t xml:space="preserve"> إلا أن "اللمسة الإنسانية" تظل متغيراً حرجاً يحدد مدى قبول العميل للخدمة المؤتمتة.</w:t>
      </w:r>
    </w:p>
    <w:p>
      <w:pPr/>
      <w:r>
        <w:rPr>
          <w:shd w:val="clear" w:fill="eeee80"/>
        </w:rPr>
        <w:t xml:space="preserve">التوصيات: توصي الدراسة بضرورة استثمار المنظمات في البنية التحتية للبيانات،</w:t>
      </w:r>
    </w:p>
    <w:p>
      <w:pPr/>
      <w:r>
        <w:rPr>
          <w:shd w:val="clear" w:fill="eeee80"/>
        </w:rPr>
        <w:t xml:space="preserve"> مع الالتزام الصارم بمعايير الأخلاقيات الرقمية لضمان بناء ثقة مستدامة مع العميل.</w:t>
      </w:r>
    </w:p>
    <w:p>
      <w:pPr/>
      <w:r>
        <w:rPr>
          <w:shd w:val="clear" w:fill="eeee80"/>
        </w:rPr>
        <w:t xml:space="preserve">الكلمات المفتاحية: الذكاء الاصطناعي،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2026-08-17T11:20:01+00:00</dcterms:created>
  <dcterms:modified xsi:type="dcterms:W3CDTF">2026-08-17T11:20:01+00:00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