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حول الموضوع والكائن؟ وأخيراً السؤال الأهم: من الذي يجب أن يخدمه التحقيق؟ للموضوع للتعبير بشكل أفضل عن الذات،</w:t>
      </w:r>
    </w:p>
    <w:p>
      <w:pPr/>
      <w:r>
        <w:rPr>
          <w:shd w:val="clear" w:fill="eeee80"/>
        </w:rPr>
        <w:t xml:space="preserve"> أو لكليهما من منظور تواصلي يوضح الرسائل في نقلها واستقبالها؟</w:t>
      </w:r>
    </w:p>
    <w:p>
      <w:pPr/>
      <w:r>
        <w:rPr>
          <w:shd w:val="clear" w:fill="eeee80"/>
        </w:rPr>
        <w:t xml:space="preserve">هنا مرة أخرى،</w:t>
      </w:r>
    </w:p>
    <w:p>
      <w:pPr/>
      <w:r>
        <w:rPr>
          <w:shd w:val="clear" w:fill="eeee80"/>
        </w:rPr>
        <w:t xml:space="preserve"> فإن المصطلحات المستخدمة في طريقة عرض لحظة التسليم هذه تعكس جزئيًا هذه المتطلبات الأساسية،</w:t>
      </w:r>
    </w:p>
    <w:p>
      <w:pPr/>
      <w:r>
        <w:rPr>
          <w:shd w:val="clear" w:fill="eeee80"/>
        </w:rPr>
        <w:t xml:space="preserve"> وتوجه التحقيق بمعنى أكثر معيارية أو إدراكيًا أو على العكس من ذلك بمعنى الدعوة إلى التخيل أو التعبير عن المشاعر.</w:t>
      </w:r>
    </w:p>
    <w:p>
      <w:pPr/>
      <w:r>
        <w:rPr>
          <w:shd w:val="clear" w:fill="eeee80"/>
        </w:rPr>
        <w:t xml:space="preserve">ويفضل أن تتبادر إلى ذهن المريض أولاً ذكريات إجاباته،</w:t>
      </w:r>
    </w:p>
    <w:p>
      <w:pPr/>
      <w:r>
        <w:rPr>
          <w:shd w:val="clear" w:fill="eeee80"/>
        </w:rPr>
        <w:t xml:space="preserve"> حتى لو كان ذلك يعني تذكيره بها إذا لم يتذكرها بشكل تلقائي؛</w:t>
      </w:r>
    </w:p>
    <w:p>
      <w:pPr/>
      <w:r>
        <w:rPr>
          <w:shd w:val="clear" w:fill="eeee80"/>
        </w:rPr>
        <w:t xml:space="preserve"> نقترح التعليمات التالية: &gt;</w:t>
      </w:r>
    </w:p>
    <w:p>
      <w:pPr/>
      <w:r>
        <w:rPr>
          <w:shd w:val="clear" w:fill="eeee80"/>
        </w:rPr>
        <w:t xml:space="preserve"> عفوية: "حيوانان أنف لأنف" دون أي ارتباط أو تعليق آخر؛</w:t>
      </w:r>
    </w:p>
    <w:p>
      <w:pPr/>
      <w:r>
        <w:rPr>
          <w:shd w:val="clear" w:fill="eeee80"/>
        </w:rPr>
        <w:t xml:space="preserve"> الاختيار السلبي: «أنا لا أحبه بسبب الدم.</w:t>
      </w:r>
    </w:p>
    <w:p>
      <w:pPr/>
      <w:r>
        <w:rPr>
          <w:shd w:val="clear" w:fill="eeee80"/>
        </w:rPr>
        <w:t xml:space="preserve">&gt;&gt;&gt;</w:t>
      </w:r>
    </w:p>
    <w:p>
      <w:pPr/>
      <w:r>
        <w:rPr>
          <w:shd w:val="clear" w:fill="eeee80"/>
        </w:rPr>
        <w:t xml:space="preserve">وهكذا نرى كيف أن "تقنية" الإدارة ترتبط ارتباطًا وثيقًا بالبعد السريري،</w:t>
      </w:r>
    </w:p>
    <w:p>
      <w:pPr/>
      <w:r>
        <w:rPr>
          <w:shd w:val="clear" w:fill="eeee80"/>
        </w:rPr>
        <w:t xml:space="preserve"> لإدارة رورشاخ.</w:t>
      </w:r>
    </w:p>
    <w:p>
      <w:pPr/>
      <w:r>
        <w:rPr>
          <w:shd w:val="clear" w:fill="eeee80"/>
        </w:rPr>
        <w:t xml:space="preserve"> وينطبق هذا على جميع إدارات الاختبارات النفسية،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 ذلك الذي يسبق اللقاء مع موضوع محدد ولكنه ليس أقل نشاطًا لأنه يتعلق عالميًا ولكن بعمق بالعلاقة.</w:t>
      </w:r>
    </w:p>
    <w:p>
      <w:pPr/>
      <w:r>
        <w:rPr>
          <w:shd w:val="clear" w:fill="eeee80"/>
        </w:rPr>
        <w:t xml:space="preserve"> أن يحدد كل شخص بين دوره كطبيب والأشخاص الذين يمكنهم من ممارسته.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2026-10-15T07:04:48+00:00</dcterms:created>
  <dcterms:modified xsi:type="dcterms:W3CDTF">2026-10-15T07:04:48+00:00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