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Ulcerative colitis• * Is a chronic disease with remission and relapse presented with bloody diarrhea with abdominal cramps s.t fever and weight loss • * More in whites than blacks. • * No sex predilection. • * The onset of the disease is usually at 2nd -3rd decades. • * The pathogenesis is still unknown as with Crohn’s dis. </w:t>
      </w:r>
    </w:p>
    <w:p>
      <w:pPr/>
      <w:r>
        <w:rPr>
          <w:shd w:val="clear" w:fill="eeee80"/>
        </w:rPr>
        <w:t xml:space="preserve">but it results from many environmental factors that lead to loss of tolerance of the mucosa for normal flora in genetically susceptible individuals.</w:t>
      </w:r>
    </w:p>
    <w:p>
      <w:pPr/>
      <w:r>
        <w:rPr/>
        <w:t xml:space="preserve">• It is characterized by:• 1- It involves only the colon hence the name “colitis”• 2- The involvement is continuous (not skip) starting from the rectum and ascend upwards in a continuous way till it reach the ileum (s.t. it involves the distal ileum where it is called backwash ileitis) • 3- It involves the mucosa and submucosa only (not transmural) • 4- The ulcer is superficial and never forms fissures or wall thickening or strictures • 5- There is no cobblestone appearance instead there is inflamed hyperemic mucosa with islands of regenerating mucosal cells forming the pseudopolyps• Mic:• * congested mucosa. • * Acute and chronic inflammatory cell infiltration of the lamina propria • * Crypt abscess (collection of neutrophils in the glandular lumen) • * There is goblet cell depletion • * No granuloma:Complications of ulcerative colitis1. toxic megacolon and perforation: severe cases are associated with inflammation of the muscularis propria and neuromuscular dysfunction leading to colonic dilation 2. Colorectal carcinoma cause by continuous regeneration ? dysplasia?carcinoma. Colorectal carcinoma is the cause of death in an estimated 15% of inflammatory bowel disease patients; risk factors for developing colorectal carcinoma include:• Duration of disease• Extent of disease3- Extraintestinal manifestations: 5% have associated primary sclerosing colongitis, others develop similar complications as inCrohn disease and include migratory polyarthritis, sacroiliitis, ankylosing spondylitis, uveitis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2026-10-11T03:45:56+00:00</dcterms:created>
  <dcterms:modified xsi:type="dcterms:W3CDTF">2026-10-11T03:45:56+00:00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