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المعروف أن مبالغة المناهج النقدية (البيوغرافية) في الاهتمام بسياق إنتاج الظاهرة الأدبية،</w:t>
      </w:r>
    </w:p>
    <w:p>
      <w:pPr/>
      <w:r>
        <w:rPr>
          <w:shd w:val="clear" w:fill="eeee80"/>
        </w:rPr>
        <w:t xml:space="preserve"> وإيلائها العناية الأكبر على حساب بنية النص قد أدى إلى ردود فعل أفضت في النهاية إلى ظهور مناهج واتجاهات نقدية محايثة تتخذ من النص وبنيته الداخلية منطلقاً لها،</w:t>
      </w:r>
    </w:p>
    <w:p>
      <w:pPr/>
      <w:r>
        <w:rPr>
          <w:shd w:val="clear" w:fill="eeee80"/>
        </w:rPr>
        <w:t xml:space="preserve"> وغاية ترفض معهما النظر في السياق الإنتاجي للظاهرة الأدبية أو ظروف منشئها.</w:t>
      </w:r>
    </w:p>
    <w:p>
      <w:pPr/>
      <w:r>
        <w:rPr>
          <w:shd w:val="clear" w:fill="eeee80"/>
        </w:rPr>
        <w:t xml:space="preserve"> ولعل البنيوية كانت أكثر المناهج النقدية مضياً نحو النظر إلى النص الأدبي ومقاربته،</w:t>
      </w:r>
    </w:p>
    <w:p>
      <w:pPr/>
      <w:r>
        <w:rPr>
          <w:shd w:val="clear" w:fill="eeee80"/>
        </w:rPr>
        <w:t xml:space="preserve"> لا علاقة لها بالذات المنتجة ولا بسياق الإنتاج.</w:t>
      </w:r>
    </w:p>
    <w:p>
      <w:pPr/>
      <w:r>
        <w:rPr>
          <w:shd w:val="clear" w:fill="eeee80"/>
        </w:rPr>
        <w:t xml:space="preserve"> وهو ما أعان على تشكل اتجاه نقدي أراد له أصحابه أن يكون تحدياً لهيمنة تلك الاتجاهات النقدية المتجهة صوب النص وإعلاء سلطة بديلة هي سلطة (القارئ)،</w:t>
      </w:r>
    </w:p>
    <w:p>
      <w:pPr/>
      <w:r>
        <w:rPr>
          <w:shd w:val="clear" w:fill="eeee80"/>
        </w:rPr>
        <w:t xml:space="preserve"> وتركز على كيفية تلقي النصوص الأدبية.</w:t>
      </w:r>
    </w:p>
    <w:p>
      <w:pPr/>
      <w:r>
        <w:rPr>
          <w:shd w:val="clear" w:fill="eeee80"/>
        </w:rPr>
        <w:t xml:space="preserve"> وتتأثر "جمالية القراءة" أو "نظرية التلقي" هذه بـ"نظرية الفينومينولوجيا" وتؤكد على دور القارئ في خلق المعنى الأدبي.</w:t>
      </w:r>
    </w:p>
    <w:p>
      <w:pPr/>
      <w:r>
        <w:rPr>
          <w:shd w:val="clear" w:fill="eeee80"/>
        </w:rPr>
        <w:t xml:space="preserve"> ويوجد اتجاهان رئيسيان داخل نظرية القراءة: ١- "نظرية التأثير والتواصل"،</w:t>
      </w:r>
    </w:p>
    <w:p>
      <w:pPr/>
      <w:r>
        <w:rPr>
          <w:shd w:val="clear" w:fill="eeee80"/>
        </w:rPr>
        <w:t xml:space="preserve">تسلط الضوء على دور القارئ والنص،</w:t>
      </w:r>
    </w:p>
    <w:p>
      <w:pPr/>
      <w:r>
        <w:rPr>
          <w:shd w:val="clear" w:fill="eeee80"/>
        </w:rPr>
        <w:t xml:space="preserve"> و٢- "نظرية التلقي والتقبل"،</w:t>
      </w:r>
    </w:p>
    <w:p>
      <w:pPr/>
      <w:r>
        <w:rPr>
          <w:shd w:val="clear" w:fill="eeee80"/>
        </w:rPr>
        <w:t xml:space="preserve"> متأثرًا بغادامير وشلايرماخر وهايدغر،</w:t>
      </w:r>
    </w:p>
    <w:p>
      <w:pPr/>
      <w:r>
        <w:rPr>
          <w:shd w:val="clear" w:fill="eeee80"/>
        </w:rPr>
        <w:t xml:space="preserve"> وتشدد على تأثير القارئ في المعنى.</w:t>
      </w:r>
    </w:p>
    <w:p>
      <w:pPr/>
      <w:r>
        <w:rPr>
          <w:shd w:val="clear" w:fill="eeee80"/>
        </w:rPr>
        <w:t xml:space="preserve"> وكلا الاتجاهين يعترف بالدور الفاعل للقارئ والعلاقة التبادلية بين النص والقارئ.</w:t>
      </w:r>
    </w:p>
    <w:p>
      <w:pPr/>
      <w:r>
        <w:rPr>
          <w:shd w:val="clear" w:fill="eeee80"/>
        </w:rPr>
        <w:t xml:space="preserve"> حيث لا يوجد سوى ذكر واحد فقط لـ "الاتجاهين لكل من هذين الناقدين،</w:t>
      </w:r>
    </w:p>
    <w:p>
      <w:pPr/>
      <w:r>
        <w:rPr>
          <w:shd w:val="clear" w:fill="eeee80"/>
        </w:rPr>
        <w:t xml:space="preserve">تعطي رؤية "جماليات القراءة" الأولوية لتأثير الجمهور والمعنى في الأدب،</w:t>
      </w:r>
    </w:p>
    <w:p>
      <w:pPr/>
      <w:r>
        <w:rPr>
          <w:shd w:val="clear" w:fill="eeee80"/>
        </w:rPr>
        <w:t xml:space="preserve"> على عكس المقاربات التقليدية التي تركز على جماليات الإنتاج.</w:t>
      </w:r>
    </w:p>
    <w:p>
      <w:pPr/>
      <w:r>
        <w:rPr>
          <w:shd w:val="clear" w:fill="eeee80"/>
        </w:rPr>
        <w:t xml:space="preserve"> المستندة إلى الفينومينولوجيا والتأويل،</w:t>
      </w:r>
    </w:p>
    <w:p>
      <w:pPr/>
      <w:r>
        <w:rPr>
          <w:shd w:val="clear" w:fill="eeee80"/>
        </w:rPr>
        <w:t xml:space="preserve"> أن القراء هم مفتاح صناعة المعنى،</w:t>
      </w:r>
    </w:p>
    <w:p>
      <w:pPr/>
      <w:r>
        <w:rPr>
          <w:shd w:val="clear" w:fill="eeee80"/>
        </w:rPr>
        <w:t xml:space="preserve"> حيث تنبثق الحقيقة من الفهم والوعي الذاتي في عملية القراءة.</w:t>
      </w:r>
    </w:p>
    <w:p>
      <w:pPr/>
      <w:r>
        <w:rPr>
          <w:shd w:val="clear" w:fill="eeee80"/>
        </w:rPr>
        <w:t xml:space="preserve"> إن القول بمباشرة القارئ النص،</w:t>
      </w:r>
    </w:p>
    <w:p>
      <w:pPr/>
      <w:r>
        <w:rPr>
          <w:shd w:val="clear" w:fill="eeee80"/>
        </w:rPr>
        <w:t xml:space="preserve"> يترتب عليه القول بقيام هذا القارئ بتخمين علاقات النص المباشر،</w:t>
      </w:r>
    </w:p>
    <w:p>
      <w:pPr/>
      <w:r>
        <w:rPr>
          <w:shd w:val="clear" w:fill="eeee80"/>
        </w:rPr>
        <w:t xml:space="preserve"> وتقديم استنتاجات عنه وفحص مشاعره الباطنية (٢).</w:t>
      </w:r>
    </w:p>
    <w:p>
      <w:pPr/>
      <w:r>
        <w:rPr>
          <w:shd w:val="clear" w:fill="eeee80"/>
        </w:rPr>
        <w:t xml:space="preserve">يذهب أصحاب هذا الاتجاه الجديد إلى أن للعمل الأدبي مستويين الأول: مستوى النص كما أنتجه مؤلفه،</w:t>
      </w:r>
    </w:p>
    <w:p>
      <w:pPr/>
      <w:r>
        <w:rPr>
          <w:shd w:val="clear" w:fill="eeee80"/>
        </w:rPr>
        <w:t xml:space="preserve"> والثاني: مستوى تلقي القارئ له.</w:t>
      </w:r>
    </w:p>
    <w:p>
      <w:pPr/>
      <w:r>
        <w:rPr>
          <w:shd w:val="clear" w:fill="eeee80"/>
        </w:rPr>
        <w:t xml:space="preserve"> وهو تلق يكسب النص معناه،</w:t>
      </w:r>
    </w:p>
    <w:p>
      <w:pPr/>
      <w:r>
        <w:rPr>
          <w:shd w:val="clear" w:fill="eeee80"/>
        </w:rPr>
        <w:t xml:space="preserve"> ويمنحه تجدده الدائم الذي يأتي ثمرة لاتحاد أمرين،</w:t>
      </w:r>
    </w:p>
    <w:p>
      <w:pPr/>
      <w:r>
        <w:rPr>
          <w:shd w:val="clear" w:fill="eeee80"/>
        </w:rPr>
        <w:t xml:space="preserve"> هما: (أفق انتظار النص المفترض أو (السنن الأول) و (أفق انتظار القارئ) أو (السنن الثاني).</w:t>
      </w:r>
    </w:p>
    <w:p>
      <w:pPr/>
      <w:r>
        <w:rPr>
          <w:shd w:val="clear" w:fill="eeee80"/>
        </w:rPr>
        <w:t xml:space="preserve"> فالنص بناء متكامل بذاته،</w:t>
      </w:r>
    </w:p>
    <w:p>
      <w:pPr/>
      <w:r>
        <w:rPr>
          <w:shd w:val="clear" w:fill="eeee80"/>
        </w:rPr>
        <w:t xml:space="preserve"> والقارئ هو الذي يقوم بإخراج هذه البنية المستترة محملة بإشارات النص نفسه (۳).</w:t>
      </w:r>
    </w:p>
    <w:p>
      <w:pPr/>
      <w:r>
        <w:rPr>
          <w:shd w:val="clear" w:fill="eeee80"/>
        </w:rPr>
        <w:t xml:space="preserve">لقد قاد هذا التصور إلى نتيجة مفادها أنه ليست للعمل الأدبي دلالة جاهزة أو معنى ثابت مطلق ونهائي</w:t>
      </w:r>
    </w:p>
    <w:p>
      <w:pPr/>
      <w:r>
        <w:rPr>
          <w:shd w:val="clear" w:fill="eeee80"/>
        </w:rPr>
        <w:t xml:space="preserve">ومن أبرز مجالات دراسة هذا الاتجاه البحث في سوسيولوجية) القراءة وكشفها عن حقيقة أن النصوص الواحدة لا تشتغل بالطريقة نفسها،</w:t>
      </w:r>
    </w:p>
    <w:p>
      <w:pPr/>
      <w:r>
        <w:rPr>
          <w:shd w:val="clear" w:fill="eeee80"/>
        </w:rPr>
        <w:t xml:space="preserve"> إذا ما انتقلت إلى سياقات سياسية وإيديولوجية وجغرافية مختلفة عن سياقاتها الأصلية،</w:t>
      </w:r>
    </w:p>
    <w:p>
      <w:pPr/>
      <w:r>
        <w:rPr>
          <w:shd w:val="clear" w:fill="eeee80"/>
        </w:rPr>
        <w:t xml:space="preserve"> فضلاً عن أنها لا تنتج القراءات التي انتجت،</w:t>
      </w:r>
    </w:p>
    <w:p>
      <w:pPr/>
      <w:r>
        <w:rPr>
          <w:shd w:val="clear" w:fill="eeee80"/>
        </w:rPr>
        <w:t xml:space="preserve"> الأثر الكبير في البرهنة على أن القراءة ظاهرة اجتماعية وإيديولوجية مرتبطة على الدوام بسلم القيم الجماعية،</w:t>
      </w:r>
    </w:p>
    <w:p>
      <w:pPr/>
      <w:r>
        <w:rPr>
          <w:shd w:val="clear" w:fill="eeee80"/>
        </w:rPr>
        <w:t xml:space="preserve"> وأن الجمهور ليس كتلة متجانسة،</w:t>
      </w:r>
    </w:p>
    <w:p>
      <w:pPr/>
      <w:r>
        <w:rPr>
          <w:shd w:val="clear" w:fill="eeee80"/>
        </w:rPr>
        <w:t xml:space="preserve"> بل تتدخل المصالح الفئوية والطبقية لتفرض نفسها على مستوى القراءة.</w:t>
      </w:r>
    </w:p>
    <w:p>
      <w:pPr/>
      <w:r>
        <w:rPr>
          <w:shd w:val="clear" w:fill="eeee80"/>
        </w:rPr>
        <w:t xml:space="preserve"> فقد قسمت أحياناً إلى ثلاث طرق،</w:t>
      </w:r>
    </w:p>
    <w:p>
      <w:pPr/>
      <w:r>
        <w:rPr>
          <w:shd w:val="clear" w:fill="eeee80"/>
        </w:rPr>
        <w:t xml:space="preserve"> هي: - طريقة القراءة الظاهراتية: وترصد أفعال الشخصيات واستنساخها للأحداث الروائية،</w:t>
      </w:r>
    </w:p>
    <w:p>
      <w:pPr/>
      <w:r>
        <w:rPr>
          <w:shd w:val="clear" w:fill="eeee80"/>
        </w:rPr>
        <w:t xml:space="preserve"> كما تتجلى في النص دونما تقويم نقدي.</w:t>
      </w:r>
    </w:p>
    <w:p>
      <w:pPr/>
      <w:r>
        <w:rPr>
          <w:shd w:val="clear" w:fill="eeee80"/>
        </w:rPr>
        <w:t xml:space="preserve">- طريقة القراءة التماهية وتتسم بالتأييد أو الشجب المواقف،</w:t>
      </w:r>
    </w:p>
    <w:p>
      <w:pPr/>
      <w:r>
        <w:rPr>
          <w:shd w:val="clear" w:fill="eeee80"/>
        </w:rPr>
        <w:t xml:space="preserve"> أما البحث في أنماط القراء وتصنيف فئاتهم،</w:t>
      </w:r>
    </w:p>
    <w:p>
      <w:pPr/>
      <w:r>
        <w:rPr>
          <w:shd w:val="clear" w:fill="eeee80"/>
        </w:rPr>
        <w:t xml:space="preserve">إن تعدد القراءات يبقي النصوص الأدبية حية ووثيقة الصلة؛</w:t>
      </w:r>
    </w:p>
    <w:p>
      <w:pPr/>
      <w:r>
        <w:rPr>
          <w:shd w:val="clear" w:fill="eeee80"/>
        </w:rPr>
        <w:t xml:space="preserve"> فالعلاقة الجدلية بين النص والقارئ تؤثر في بعضها البعض،</w:t>
      </w:r>
    </w:p>
    <w:p>
      <w:pPr/>
      <w:r>
        <w:rPr>
          <w:shd w:val="clear" w:fill="eeee80"/>
        </w:rPr>
        <w:t xml:space="preserve"> يؤثر على معنى النص،</w:t>
      </w:r>
    </w:p>
    <w:p>
      <w:pPr/>
      <w:r>
        <w:rPr>
          <w:shd w:val="clear" w:fill="eeee80"/>
        </w:rPr>
        <w:t xml:space="preserve"> مما يجعل عملية القراءة محصلة إبداعية تفاعلية.</w:t>
      </w:r>
    </w:p>
    <w:p>
      <w:pPr/>
      <w:r>
        <w:rPr>
          <w:shd w:val="clear" w:fill="eeee80"/>
        </w:rPr>
        <w:t xml:space="preserve"> يجادل النقاد بأن هذا لا يختلف كثيرًا عن المنهج التاريخي،</w:t>
      </w:r>
    </w:p>
    <w:p>
      <w:pPr/>
      <w:r>
        <w:rPr>
          <w:shd w:val="clear" w:fill="eeee80"/>
        </w:rPr>
        <w:t xml:space="preserve"> وهو مجرد استبدال "أسطورة" بأخرى.</w:t>
      </w:r>
    </w:p>
    <w:p>
      <w:pPr/>
      <w:r>
        <w:rPr>
          <w:shd w:val="clear" w:fill="eeee80"/>
        </w:rPr>
        <w:t xml:space="preserve">ومن المأخذ أن الدعوة للنقد الجديد هي في الواقع دعوة لاتجاه جديد في النقد،</w:t>
      </w:r>
    </w:p>
    <w:p>
      <w:pPr/>
      <w:r>
        <w:rPr>
          <w:shd w:val="clear" w:fill="eeee80"/>
        </w:rPr>
        <w:t xml:space="preserve"> حيث يتم استبدال القارئ بالمبدع وآليات القراءة والتأويل بآليات الإبداع والتشكيل.</w:t>
      </w:r>
    </w:p>
    <w:p>
      <w:pPr/>
      <w:r>
        <w:rPr>
          <w:shd w:val="clear" w:fill="eeee80"/>
        </w:rPr>
        <w:t xml:space="preserve"> وبالإضافة إلى ذلك،</w:t>
      </w:r>
    </w:p>
    <w:p>
      <w:pPr/>
      <w:r>
        <w:rPr>
          <w:shd w:val="clear" w:fill="eeee80"/>
        </w:rPr>
        <w:t xml:space="preserve"> فإنها تعطي القارئ الحرية في استكشاف وتفسير النص،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2026-10-20T13:50:40+00:00</dcterms:created>
  <dcterms:modified xsi:type="dcterms:W3CDTF">2026-10-20T13:50:40+00:00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