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لأحكام: جمع حكم وهو لغة القضاء.قال الفيومي: (الْحُكْمُ الْقَضَاءُ وَأَصْلُهُ الْمَنْعُ يُقَالُ حَكَمْتُ عَلَيْهِ بِكَذَا إذَا مَنَعْته مِنْ خِلَافِهِ فَلَمْ يَقْدِرْ عَلَى الْخُرُوجِ مِنْ ذَلِكَ وَحَكَمْتُ بَيْنَ الْقَوْمِ فَصَلْتُ بَيْنَهُمْ فَأَنَا حَاكِمٌ وَحَكَمٌ بِفَتْحَتَيْنِ وَالْجَمْعُ حُكَّامٌ وَيَجُوزُ بِالْوَاوِ وَالنُّونِ .قال المرداوي في «التحبير» (٢/ ٧٨٩): (اعلم أن الحكم مصدر قولك: حكم بينهم يحكم حكمًا،</w:t>
      </w:r>
    </w:p>
    <w:p>
      <w:pPr/>
      <w:r>
        <w:rPr>
          <w:shd w:val="clear" w:fill="eeee80"/>
        </w:rPr>
        <w:t xml:space="preserve"> وإليه ترجع تراكيب مادة: ح،</w:t>
      </w:r>
    </w:p>
    <w:p>
      <w:pPr/>
      <w:r>
        <w:rPr>
          <w:shd w:val="clear" w:fill="eeee80"/>
        </w:rPr>
        <w:t xml:space="preserve"> أو أكثرها،</w:t>
      </w:r>
    </w:p>
    <w:p>
      <w:pPr/>
      <w:r>
        <w:rPr/>
        <w:t xml:space="preserve"> إذا منعته مما أراد. وسمي القاضي: حاكمًا؛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2026-08-21T14:29:26+00:00</dcterms:created>
  <dcterms:modified xsi:type="dcterms:W3CDTF">2026-08-21T14:29:26+00:00</dcterms:modified>
</cp:coreProperties>
</file>

<file path=docProps/custom.xml><?xml version="1.0" encoding="utf-8"?>
<Properties xmlns="http://schemas.openxmlformats.org/officeDocument/2006/custom-properties" xmlns:vt="http://schemas.openxmlformats.org/officeDocument/2006/docPropsVTypes"/>
</file>