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لأحكام: جمع حكم وهو لغة القضاء.قال الفيومي: (الْحُكْمُ الْقَضَاءُ وَأَصْلُهُ الْمَنْعُ يُقَالُ حَكَمْتُ عَلَيْهِ بِكَذَا إذَا مَنَعْته مِنْ خِلَافِهِ فَلَمْ يَقْدِرْ عَلَى الْخُرُوجِ مِنْ ذَلِكَ وَحَكَمْتُ بَيْنَ الْقَوْمِ فَصَلْتُ بَيْنَهُمْ فَأَنَا حَاكِمٌ وَحَكَمٌ بِفَتْحَتَيْنِ وَالْجَمْعُ حُكَّامٌ وَيَجُوزُ بِالْوَاوِ وَالنُّونِ .قال المرداوي في «التحبير» (٢/ ٧٨٩): (اعلم أن الحكم مصدر قولك: حكم بينهم يحكم حكمًا،</w:t>
      </w:r>
    </w:p>
    <w:p>
      <w:pPr/>
      <w:r>
        <w:rPr>
          <w:shd w:val="clear" w:fill="eeee80"/>
        </w:rPr>
        <w:t xml:space="preserve"> وإليه ترجع تراكيب مادة: ح،</w:t>
      </w:r>
    </w:p>
    <w:p>
      <w:pPr/>
      <w:r>
        <w:rPr>
          <w:shd w:val="clear" w:fill="eeee80"/>
        </w:rPr>
        <w:t xml:space="preserve"> أو أكثرها،</w:t>
      </w:r>
    </w:p>
    <w:p>
      <w:pPr/>
      <w:r>
        <w:rPr/>
        <w:t xml:space="preserve"> إذا منعته مما أراد. وسمي القاضي: حاكمًا؛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2026-09-22T08:51:50+00:00</dcterms:created>
  <dcterms:modified xsi:type="dcterms:W3CDTF">2026-09-22T08:51:50+00:00</dcterms:modified>
</cp:coreProperties>
</file>

<file path=docProps/custom.xml><?xml version="1.0" encoding="utf-8"?>
<Properties xmlns="http://schemas.openxmlformats.org/officeDocument/2006/custom-properties" xmlns:vt="http://schemas.openxmlformats.org/officeDocument/2006/docPropsVTypes"/>
</file>