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لأحكام: جمع حكم وهو لغة القضاء.قال الفيومي: (الْحُكْمُ الْقَضَاءُ وَأَصْلُهُ الْمَنْعُ يُقَالُ حَكَمْتُ عَلَيْهِ بِكَذَا إذَا مَنَعْته مِنْ خِلَافِهِ فَلَمْ يَقْدِرْ عَلَى الْخُرُوجِ مِنْ ذَلِكَ وَحَكَمْتُ بَيْنَ الْقَوْمِ فَصَلْتُ بَيْنَهُمْ فَأَنَا حَاكِمٌ وَحَكَمٌ بِفَتْحَتَيْنِ وَالْجَمْعُ حُكَّامٌ وَيَجُوزُ بِالْوَاوِ وَالنُّونِ .قال المرداوي في «التحبير» (٢/ ٧٨٩): (اعلم أن الحكم مصدر قولك: حكم بينهم يحكم حكمًا،</w:t>
      </w:r>
    </w:p>
    <w:p>
      <w:pPr/>
      <w:r>
        <w:rPr>
          <w:shd w:val="clear" w:fill="eeee80"/>
        </w:rPr>
        <w:t xml:space="preserve"> وإليه ترجع تراكيب مادة: ح،</w:t>
      </w:r>
    </w:p>
    <w:p>
      <w:pPr/>
      <w:r>
        <w:rPr>
          <w:shd w:val="clear" w:fill="eeee80"/>
        </w:rPr>
        <w:t xml:space="preserve"> أو أكثرها،</w:t>
      </w:r>
    </w:p>
    <w:p>
      <w:pPr/>
      <w:r>
        <w:rPr/>
        <w:t xml:space="preserve"> إذا منعته مما أراد. وسمي القاضي: حاكمًا؛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2026-10-13T07:50:00+00:00</dcterms:created>
  <dcterms:modified xsi:type="dcterms:W3CDTF">2026-10-13T07:50:00+00:00</dcterms:modified>
</cp:coreProperties>
</file>

<file path=docProps/custom.xml><?xml version="1.0" encoding="utf-8"?>
<Properties xmlns="http://schemas.openxmlformats.org/officeDocument/2006/custom-properties" xmlns:vt="http://schemas.openxmlformats.org/officeDocument/2006/docPropsVTypes"/>
</file>