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التكافيلية: تظهر الطبيعة التكافلية في أفراد مملكة الطلائعيات،</w:t>
      </w:r>
    </w:p>
    <w:p>
      <w:pPr/>
      <w:r>
        <w:rPr>
          <w:shd w:val="clear" w:fill="eeee80"/>
        </w:rPr>
        <w:t xml:space="preserve"> فعلى سبيل المثال فإنّ اللاميناريات توفر الحماية لثعالب الماء من الحيوانات المفترسة في وسط عشب البحر،</w:t>
      </w:r>
    </w:p>
    <w:p>
      <w:pPr/>
      <w:r>
        <w:rPr>
          <w:shd w:val="clear" w:fill="eeee80"/>
        </w:rPr>
        <w:t xml:space="preserve"> في حين يقوم ثعلب الماء بأكل قنافذ الماء التي تتغذى على اللاميناريات.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2026-09-22T11:33:15+00:00</dcterms:created>
  <dcterms:modified xsi:type="dcterms:W3CDTF">2026-09-22T11:33:15+00:00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