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مرحلة تقسيم وتبويب موضوع البحث جوهرية، وتتطلب تقسيمًا دقيقًا للموضوع إلى أجزاء رئيسية وفرعية وجزئية، وفقًا لأسس علمية ومنهجية واضحة، كالتسلسل الزمني أو الأهمية.  يتضمن ذلك تحديد الفكرة الرئيسية بعنوان واضح، وإعداد مقدمة، ثم تقسيمها لأفكار فرعية وجزئية مُعَتمدة على هيكلية البحث، مع إعطاء عناوين فرعية (أجزاء، أقسام، أبواب، فصول، فروع، مباحث، مطالب)  ومُسَمّيات فرعية أخرى (أولاً، ثانياً… أ، ب، ج… 1، 2، 3) لتشكيل بنية البحث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