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شهدنا على مر السنوات ارتفاعاً في معدل دوران الذمم المدينة،  من الجميل أن نرى أيضاً تقليص الاعتماد على الائتمان طويل الأجل،  مما يدل على استدامة ومرونة في الأداء المالي.  هذا التوجه يعكس حرص الشركة على تحسين العلاقات مع عملائها وتعزيز التواصل المستمر لبناء الثقة والدعم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