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La Souverainete سيادة</w:t>
      </w:r>
    </w:p>
    <w:p>
      <w:pPr/>
      <w:r>
        <w:rPr/>
        <w:t xml:space="preserve">تتمتع الدولة بالسيادة وتستأثر بها. ومعنى تمتعها بهذه الصفة،</w:t>
      </w:r>
    </w:p>
    <w:p>
      <w:pPr/>
      <w:r>
        <w:rPr>
          <w:shd w:val="clear" w:fill="eeee80"/>
        </w:rPr>
        <w:t xml:space="preserve"> أن تكون لها الكلمة العليا لا يعلوها سلطة أو هيئة أخرى وبالتالي فهي تسمو على الجميع وتفرض نفسها عليهم باعتبارها سلطة آمرة عليا لذلك فسيادة الدولة تعني ببساطة،</w:t>
      </w:r>
    </w:p>
    <w:p>
      <w:pPr/>
      <w:r>
        <w:rPr/>
        <w:t xml:space="preserve"> أنها منبع السلطات الأخرى، فهي أصلية ولصيقة بالدولة وصفة عامة للسلطة السياسية فيها. وهي التي تميزها عن غيرها من الجماعات السياسية الأخرى . ومن هنا فالسيادة ليست حقيقة طبيعية مستقلة،</w:t>
      </w:r>
    </w:p>
    <w:p>
      <w:pPr/>
      <w:r>
        <w:rPr>
          <w:shd w:val="clear" w:fill="eeee80"/>
        </w:rPr>
        <w:t xml:space="preserve">من اختصاص الأمر والنهي المطلق (1).</w:t>
      </w:r>
    </w:p>
    <w:p>
      <w:pPr/>
      <w:r>
        <w:rPr>
          <w:shd w:val="clear" w:fill="eeee80"/>
        </w:rPr>
        <w:t xml:space="preserve">وهذه السيادة وحدة واحدة لا تتجزا مهما تعددت السلطات العامة هذه</w:t>
      </w:r>
    </w:p>
    <w:p>
      <w:pPr/>
      <w:r>
        <w:rPr>
          <w:shd w:val="clear" w:fill="eeee80"/>
        </w:rPr>
        <w:t xml:space="preserve">السلطات مهما تعددت فهي لا نتقاسم السيادة فيما بينها،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2026-10-13T11:00:44+00:00</dcterms:created>
  <dcterms:modified xsi:type="dcterms:W3CDTF">2026-10-13T11:00:44+00:00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