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يعتبر النشاط الاقتصادي من العناصر الأساسية التي تحدد مستوى الرفاهية في المجتمعات،</w:t>
      </w:r>
    </w:p>
    <w:p>
      <w:pPr/>
      <w:r>
        <w:rPr>
          <w:shd w:val="clear" w:fill="eeee80"/>
        </w:rPr>
        <w:t xml:space="preserve"> حيث يعكس قدرة الدول على إنتاج السلع والخدمات وتوزيعها بشكل فعّال.</w:t>
      </w:r>
    </w:p>
    <w:p>
      <w:pPr/>
      <w:r>
        <w:rPr>
          <w:shd w:val="clear" w:fill="eeee80"/>
        </w:rPr>
        <w:t xml:space="preserve"> إن النشاط الاقتصادي لا يقتصر فقط على الأرقام والإحصائيات،</w:t>
      </w:r>
    </w:p>
    <w:p>
      <w:pPr/>
      <w:r>
        <w:rPr>
          <w:shd w:val="clear" w:fill="eeee80"/>
        </w:rPr>
        <w:t xml:space="preserve"> بل يتضمن أيضًا تأثيره على حياة الأفراد والمجتمعات.</w:t>
      </w:r>
    </w:p>
    <w:p>
      <w:pPr/>
      <w:r>
        <w:rPr>
          <w:shd w:val="clear" w:fill="eeee80"/>
        </w:rPr>
        <w:t xml:space="preserve">تتعدد أشكال النشاط الاقتصادي بين القطاعات المختلفة مثل الزراعة والصناعة والخدمات،</w:t>
      </w:r>
    </w:p>
    <w:p>
      <w:pPr/>
      <w:r>
        <w:rPr>
          <w:shd w:val="clear" w:fill="eeee80"/>
        </w:rPr>
        <w:t xml:space="preserve"> وكل منها يلعب دورًا مهمًا في تعزيز النمو الاقتصادي.</w:t>
      </w:r>
    </w:p>
    <w:p>
      <w:pPr/>
      <w:r>
        <w:rPr>
          <w:shd w:val="clear" w:fill="eeee80"/>
        </w:rPr>
        <w:t xml:space="preserve"> يعتمد نجاح هذه الأنشطة على عدة عوامل،</w:t>
      </w:r>
    </w:p>
    <w:p>
      <w:pPr/>
      <w:r>
        <w:rPr>
          <w:shd w:val="clear" w:fill="eeee80"/>
        </w:rPr>
        <w:t xml:space="preserve"> فإن النشاط الاقتصادي يتأثر بالعوامل الخارجية مثل التجارة الدولية والاستثمارات الأجنبية.</w:t>
      </w:r>
    </w:p>
    <w:p>
      <w:pPr/>
      <w:r>
        <w:rPr>
          <w:shd w:val="clear" w:fill="eeee80"/>
        </w:rPr>
        <w:t xml:space="preserve"> الدول التي تتبنى سياسات انفتاح اقتصادي غالبًا ما تحقق معدلات نمو أعلى مقارنة بتلك التي تفرض قيودًا على التجارة والاستثمار.</w:t>
      </w:r>
    </w:p>
    <w:p>
      <w:pPr/>
      <w:r>
        <w:rPr>
          <w:shd w:val="clear" w:fill="eeee80"/>
        </w:rPr>
        <w:t xml:space="preserve"> لتحقيق نشاط اقتصادي مستدام وفعّال،</w:t>
      </w:r>
    </w:p>
    <w:p>
      <w:pPr/>
      <w:r>
        <w:rPr>
          <w:shd w:val="clear" w:fill="eeee80"/>
        </w:rPr>
        <w:t xml:space="preserve"> يجب أن تكون هناك استراتيجيات واضحة تهدف إلى تحسين بيئة الأعمال وتعزيز الشفافية والمساءلة.</w:t>
      </w:r>
    </w:p>
    <w:p>
      <w:pPr/>
      <w:r>
        <w:rPr>
          <w:shd w:val="clear" w:fill="eeee80"/>
        </w:rPr>
        <w:t xml:space="preserve"> كما ينبغي التركيز على تطوير البنية التحتية وتحسين جودة التعليم لضمان توافر المهارات اللازمة لدعم النمو المستقبلي.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2026-09-16T17:01:57+00:00</dcterms:created>
  <dcterms:modified xsi:type="dcterms:W3CDTF">2026-09-16T17:01:57+00:00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