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المصلحة في الدعوى هي مناطها وسبب رفعها، وغاية المدعي.  وهي منفعة مالية أو معنوية يتوقع الحصول عليها من القضاء بشأن الحق المتنازع عليه.  يجب أن تكون هذه المصلحة قانونية يحميها القانون،  مستندة على حق مادي أو أدبي قائم أو محتمل،  نتيجة اعتداء أو منازعة على هذا الحق.  كما يجب أن تكون شخصية ومباشرة لصاحب الدعوى،  بمعنى أن يكون هو نفسه صاحب الحق أو من يمثله.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