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أطلق العنان لإمكانات علامتك التجارية: في عصرنا الرقمي اليوم .</w:t>
      </w:r>
    </w:p>
    <w:p>
      <w:pPr/>
      <w:r>
        <w:rPr>
          <w:shd w:val="clear" w:fill="eeee80"/>
        </w:rPr>
        <w:t xml:space="preserve"> وجودك على وسائل التواصل الاجتماعي ليس مجرد امتداد لعملك ! إنه نبض نجاحك.</w:t>
      </w:r>
    </w:p>
    <w:p>
      <w:pPr/>
      <w:r>
        <w:rPr>
          <w:shd w:val="clear" w:fill="eeee80"/>
        </w:rPr>
        <w:t xml:space="preserve"> بصفتي مصمم جرافيك محترف مع أكثر من 900 متابع،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2026-10-19T03:29:59+00:00</dcterms:created>
  <dcterms:modified xsi:type="dcterms:W3CDTF">2026-10-19T03:29:59+00:00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