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 تحديد ثراء التربة في التكاثر الفطري الداخلي القادر على إصابة جذور النباتات المضيفة بطريقة "العدد الأكثر احتمالاً" (MPN).  تتكون هذه الطريقة من تحديد وجود أو عدم وجود فطريات فطرية داخلية في جذور النباتات ذات التغذية الفطرية،</w:t>
      </w:r>
    </w:p>
    <w:p>
      <w:pPr/>
      <w:r>
        <w:rPr>
          <w:shd w:val="clear" w:fill="eeee80"/>
        </w:rPr>
        <w:t xml:space="preserve">  تمت زراعة بذور الذرة الرفيعة سابقة الإنبات على كل نوع من أنواع التربة المخففة باستخدام الرمل المعقم منزوع المعادن (KUSZALA and GIANINAZZI,</w:t>
      </w:r>
    </w:p>
    <w:p>
      <w:pPr/>
      <w:r>
        <w:rPr/>
        <w:t xml:space="preserve"> تم استعادة النظم الجذرية لنباتات الذرة الرفيعة وصبغها وفقًا لطريقة فيليبس وهايمان (1970) ثم تقطيعها إلى أجزاء يبلغ طولها حوالي 1 سم.  تم بعد ذلك تركيب عشرة أجزاء بين الشريحة والشفة (عشرة تكرارات لكل تخفيف).</w:t>
      </w:r>
    </w:p>
    <w:p>
      <w:pPr/>
      <w:r>
        <w:rPr>
          <w:shd w:val="clear" w:fill="eeee80"/>
        </w:rPr>
        <w:t xml:space="preserve">  تم تحديد وجود أو عدم وجود استعمار الميكوريزا لكل جزء من الجذر.</w:t>
      </w:r>
    </w:p>
    <w:p>
      <w:pPr/>
      <w:r>
        <w:rPr/>
        <w:t xml:space="preserve">  تم حساب NPP بالمعادلة التالية Log10 NPP = (x log a) - K حيث x هو متوسط ​​دلاء الميكوريزا،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2026-09-13T13:58:33+00:00</dcterms:created>
  <dcterms:modified xsi:type="dcterms:W3CDTF">2026-09-13T13:58:33+00:00</dcterms:modified>
</cp:coreProperties>
</file>

<file path=docProps/custom.xml><?xml version="1.0" encoding="utf-8"?>
<Properties xmlns="http://schemas.openxmlformats.org/officeDocument/2006/custom-properties" xmlns:vt="http://schemas.openxmlformats.org/officeDocument/2006/docPropsVTypes"/>
</file>