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يعد وجود عدم اليقين أمرًا لا مفر منه بقدر ما هو مؤثر.</w:t>
      </w:r>
    </w:p>
    <w:p>
      <w:pPr/>
      <w:r>
        <w:rPr/>
        <w:t xml:space="preserve"> وكثيراً ما ينبع هذا الغموض المتأصل في التنبؤ بالنتائج من عدد كبير من العوامل،</w:t>
      </w:r>
    </w:p>
    <w:p>
      <w:pPr/>
      <w:r>
        <w:rPr>
          <w:shd w:val="clear" w:fill="eeee80"/>
        </w:rPr>
        <w:t xml:space="preserve"> والمتغيرات البيئية التي لا يمكن التنبؤ بها،</w:t>
      </w:r>
    </w:p>
    <w:p>
      <w:pPr/>
      <w:r>
        <w:rPr>
          <w:shd w:val="clear" w:fill="eeee80"/>
        </w:rPr>
        <w:t xml:space="preserve"> والتفاعل المعقد بين السلوكيات البشرية.</w:t>
      </w:r>
    </w:p>
    <w:p>
      <w:pPr/>
      <w:r>
        <w:rPr/>
        <w:t xml:space="preserve"> المبدأ الذي يغلف هذه الظاهرة يتوازي مع مبدأ عدم اليقين لهايزنبرغ في ميكانيكا الكم،</w:t>
      </w:r>
    </w:p>
    <w:p>
      <w:pPr/>
      <w:r>
        <w:rPr>
          <w:shd w:val="clear" w:fill="eeee80"/>
        </w:rPr>
        <w:t xml:space="preserve"> والذي يفترض أنه كلما تم قياس خاصية واحدة بدقة أكبر،</w:t>
      </w:r>
    </w:p>
    <w:p>
      <w:pPr/>
      <w:r>
        <w:rPr>
          <w:shd w:val="clear" w:fill="eeee80"/>
        </w:rPr>
        <w:t xml:space="preserve"> كلما كانت إمكانية التحكم في الأخرى أو معرفتها أو التنبؤ بها أقل دقة.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2026-08-16T07:35:34+00:00</dcterms:created>
  <dcterms:modified xsi:type="dcterms:W3CDTF">2026-08-16T07:35:34+00:00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