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البحثان إلى استكشاف إمكانية استخدام الزخارف التقليدية في تصميم ملابس الأطفال ومكملات الملابس. ففي البحث الأول، تم تصميم فساتين أطفال مستوحاة من زهرة البوته، بينما استلهم البحث الثاني مكملات ملابس من زخارف قبيلة حرب. تعتمد كلا البحثين على التراث والجماليات والابتكار في التصميم مع التركيز على توفير التصاميم الحديثة والوظيفية مع الحفاظ على التراث الأصيل.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2026-09-26T08:42:03+00:00</dcterms:created>
  <dcterms:modified xsi:type="dcterms:W3CDTF">2026-09-26T08:42:03+00:00</dcterms:modified>
</cp:coreProperties>
</file>

<file path=docProps/custom.xml><?xml version="1.0" encoding="utf-8"?>
<Properties xmlns="http://schemas.openxmlformats.org/officeDocument/2006/custom-properties" xmlns:vt="http://schemas.openxmlformats.org/officeDocument/2006/docPropsVTypes"/>
</file>