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ويراد بالسؤال استيضاح أمر من أمور الدولة،</w:t>
      </w:r>
    </w:p>
    <w:p>
      <w:pPr/>
      <w:r>
        <w:rPr>
          <w:shd w:val="clear" w:fill="eeee80"/>
        </w:rPr>
        <w:t xml:space="preserve"> ومن حق أعضاء البرلمان توجي</w:t>
      </w:r>
    </w:p>
    <w:p>
      <w:pPr/>
      <w:r>
        <w:rPr/>
        <w:t xml:space="preserve">بالأعمال ذات الصلة بالجانب المالي.</w:t>
      </w:r>
    </w:p>
    <w:p>
      <w:pPr/>
      <w:r>
        <w:rPr>
          <w:shd w:val="clear" w:fill="eeee80"/>
        </w:rPr>
        <w:t xml:space="preserve"> ويعتبر السؤال آلية رقابية من طبيعة سياسية،</w:t>
      </w:r>
    </w:p>
    <w:p>
      <w:pPr/>
      <w:r>
        <w:rPr/>
        <w:t xml:space="preserve">تكون أثناء إصدار القرار المالية (رقابة متزامنة)،</w:t>
      </w:r>
    </w:p>
    <w:p>
      <w:pPr/>
      <w:r>
        <w:rPr>
          <w:shd w:val="clear" w:fill="eeee80"/>
        </w:rPr>
        <w:t xml:space="preserve"> وقد تكون بعد صدور هذا القرار</w:t>
      </w:r>
    </w:p>
    <w:p>
      <w:pPr/>
      <w:r>
        <w:rPr>
          <w:shd w:val="clear" w:fill="eeee80"/>
        </w:rPr>
        <w:t xml:space="preserve"> ويمكن في بعض الحالات رغم ندرتھا أن تكون قبل إصدار التصرف</w:t>
      </w:r>
    </w:p>
    <w:p>
      <w:pPr/>
      <w:r>
        <w:rPr>
          <w:shd w:val="clear" w:fill="eeee80"/>
        </w:rPr>
        <w:t xml:space="preserve">سؤالا لأحد الوزراء فإنما يبغي من وراء ذلك معرفة</w:t>
      </w:r>
    </w:p>
    <w:p>
      <w:pPr/>
      <w:r>
        <w:rPr>
          <w:shd w:val="clear" w:fill="eeee80"/>
        </w:rPr>
        <w:t xml:space="preserve">ه وعضو البرلمان عندما يوج</w:t>
      </w:r>
    </w:p>
    <w:p>
      <w:pPr/>
      <w:r>
        <w:rPr/>
        <w:t xml:space="preserve">حقيقة تصرف من التصرفات المالية التي قام بھا الوزير أو الوزارة،</w:t>
      </w:r>
    </w:p>
    <w:p>
      <w:pPr/>
      <w:r>
        <w:rPr>
          <w:shd w:val="clear" w:fill="eeee80"/>
        </w:rPr>
        <w:t xml:space="preserve">موضوع السؤال دائرة العضو والوزير المسؤول،</w:t>
      </w:r>
    </w:p>
    <w:p>
      <w:pPr/>
      <w:r>
        <w:rPr/>
        <w:t xml:space="preserve"> فلا يحق لشخص ثالت التدخل فيه .ه الأسئلة،</w:t>
      </w:r>
    </w:p>
    <w:p>
      <w:pPr/>
      <w:r>
        <w:rPr>
          <w:shd w:val="clear" w:fill="eeee80"/>
        </w:rPr>
        <w:t xml:space="preserve">12 المادة</w:t>
      </w:r>
    </w:p>
    <w:p>
      <w:pPr/>
      <w:r>
        <w:rPr>
          <w:shd w:val="clear" w:fill="eeee80"/>
        </w:rPr>
        <w:t xml:space="preserve">ه من الدستور الجزائري إجراءات توجي</w:t>
      </w:r>
    </w:p>
    <w:p>
      <w:pPr/>
      <w:r>
        <w:rPr>
          <w:shd w:val="clear" w:fill="eeee80"/>
        </w:rPr>
        <w:t xml:space="preserve">يمكن أعضاء البرلمان أن يوجّھوا أيّ سؤال شفويّ أو كتابيّ إلى أيّ عضو في الحكومة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2026-08-26T21:22:13+00:00</dcterms:created>
  <dcterms:modified xsi:type="dcterms:W3CDTF">2026-08-26T21:22:13+00:00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