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تطوير صناعة التقنية المالية وتحويل المملكة العربية السعودية إلى مركز رائد في مجال التقنية في القطاع المالي.  وإنشاء منتجات وخدمات تدعم الشركات الصغيرة والمتوسطة في جميع المناطق و مدن المملكة.  تتعاون شركة التقنية المالية السعودية مع البنوك المحلية وشركات التقنية المالية العالمية لإطلاق العديد من الفعاليات.  والأنشطة المتعلقة بالقطاع المالي في المملكة،  يهدف النظام البيئي السعودي إلى تسريع تطوير التكنولوجيا المالية في المملكة العربية السعودية،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