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Lastly, diversity and inclusion are often seen as positive requirements, but we have demonstrated that they come with significant challenges.</w:t>
      </w:r>
    </w:p>
    <w:p>
      <w:pPr/>
      <w:r>
        <w:rPr>
          <w:shd w:val="clear" w:fill="eeee80"/>
        </w:rPr>
        <w:t xml:space="preserve">An example of the challenges we discuss are communication barriers, cultural misunderstandings, and even stereotypes, which can negatively impact workplace performance and employee well-being.</w:t>
      </w:r>
    </w:p>
    <w:p>
      <w:pPr/>
      <w:r>
        <w:rPr/>
        <w:t xml:space="preserve">We also gathered some supporting evidence for our statement, which indicates that diversity isn’t always beneficial for every organization or country. Instead, it can become a threat if not managed carefully. For example, we talked about the Nafis program introduced to address the genuine issue of local unemployment, showing that diversity can sometimes create a divide between foreigners and local workers. </w:t>
      </w:r>
    </w:p>
    <w:p>
      <w:pPr/>
      <w:r>
        <w:rPr>
          <w:shd w:val="clear" w:fill="eeee80"/>
        </w:rPr>
        <w:t xml:space="preserve">While diversity can bring certain benefits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2026-09-25T09:41:14+00:00</dcterms:created>
  <dcterms:modified xsi:type="dcterms:W3CDTF">2026-09-25T09:41:14+00:00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