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company will face problems if it drills, which will harm and pollute the environment and affect the population.</w:t>
      </w:r>
    </w:p>
    <w:p>
      <w:pPr/>
      <w:r>
        <w:rPr>
          <w:shd w:val="clear" w:fill="eeee80"/>
        </w:rPr>
        <w:t xml:space="preserve">There are reports from various colleges and majors in Washington, DC, on the subject.</w:t>
      </w:r>
    </w:p>
    <w:p>
      <w:pPr/>
      <w:r>
        <w:rPr/>
        <w:t xml:space="preserve"> The law directs the Minister of the Interior to implement “other, better and safer solutions for all new drilling and production operations when backups occur, rather than those that fail and will have a significant impact on safety, health, or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2026-10-21T11:35:50+00:00</dcterms:created>
  <dcterms:modified xsi:type="dcterms:W3CDTF">2026-10-21T11:35:50+00:00</dcterms:modified>
</cp:coreProperties>
</file>

<file path=docProps/custom.xml><?xml version="1.0" encoding="utf-8"?>
<Properties xmlns="http://schemas.openxmlformats.org/officeDocument/2006/custom-properties" xmlns:vt="http://schemas.openxmlformats.org/officeDocument/2006/docPropsVTypes"/>
</file>