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الفكرة الأساسية لإيطاليا هي أن أي تدخل يجب أن يكون متناغماً مع البيئة التي يقع فيها،</w:t>
      </w:r>
    </w:p>
    <w:p>
      <w:pPr/>
      <w:r>
        <w:rPr>
          <w:shd w:val="clear" w:fill="eeee80"/>
        </w:rPr>
        <w:t xml:space="preserve"> وبالتالي فإن جميع الممارسات تهدف إلى جعل الترميم مبنى بحيث يكون جزءاً كاملاً من العمارة القائمة.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2026-09-13T21:08:38+00:00</dcterms:created>
  <dcterms:modified xsi:type="dcterms:W3CDTF">2026-09-13T21:08:38+00:00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