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 Time Management and Self-Development: I successfully balanced a rigorous high school curriculum with 5 hours per week dedicated to self-directed learning. </w:t>
      </w:r>
    </w:p>
    <w:p>
      <w:pPr/>
      <w:r>
        <w:rPr>
          <w:shd w:val="clear" w:fill="eeee80"/>
        </w:rPr>
        <w:t xml:space="preserve">Through my own initiative, I completed three online courses covering the fundamentals of marketing and basic accounting.</w:t>
      </w:r>
    </w:p>
    <w:p>
      <w:pPr/>
      <w:r>
        <w:rPr/>
        <w:t xml:space="preserve">• Leadership and Organization in a School Setting: I founded and led a study group of six peers. We reorganized our revision schedules and delegated tasks based on each student’s individual strengths. This effort led to a notable improvement in the entire group’s final exam scores and helped us overcome cumulative learning challenges.• Individual Resource Planning: I managed the personal budget allocated for our academic year’s graduation projects. By comparing various suppliers and minimizing material waste, I saved 15% of the available budget while maintaining the high quality of our final presentation.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2026-11-03T10:07:36+00:00</dcterms:created>
  <dcterms:modified xsi:type="dcterms:W3CDTF">2026-11-03T10:07:36+00:00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