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امتلاك عمل تجاري هو رحلة تتطلب الشغف والالتزام والقدرة على التكيف مع التحديات.</w:t>
      </w:r>
    </w:p>
    <w:p>
      <w:pPr/>
      <w:r>
        <w:rPr>
          <w:shd w:val="clear" w:fill="eeee80"/>
        </w:rPr>
        <w:t xml:space="preserve"> من خلال التخطيط الجيد وتنمية المهارات والالتزام المستمر،</w:t>
      </w:r>
    </w:p>
    <w:p>
      <w:pPr/>
      <w:r>
        <w:rPr>
          <w:shd w:val="clear" w:fill="eeee80"/>
        </w:rPr>
        <w:t xml:space="preserve"> يمكن أن يكون امتلاك عمل تجاري طريقًا للنجاح الشخصي والمهني،</w:t>
      </w:r>
    </w:p>
    <w:p>
      <w:pPr/>
      <w:r>
        <w:rPr>
          <w:shd w:val="clear" w:fill="eeee80"/>
        </w:rPr>
        <w:t xml:space="preserve"> وتأثيرًا إيجابيًا على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2026-09-27T04:51:57+00:00</dcterms:created>
  <dcterms:modified xsi:type="dcterms:W3CDTF">2026-09-27T04:51:57+00:00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