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يدعوا مصطلح "الحقل الإداري الأوروبي" إلى تجاوز التفسيرات المؤسسية البحتة، وبناء موضوع الدراسة عند ملتقى وجهات النظر،</w:t>
      </w:r>
    </w:p>
    <w:p>
      <w:pPr/>
      <w:r>
        <w:rPr>
          <w:shd w:val="clear" w:fill="eeee80"/>
        </w:rPr>
        <w:t xml:space="preserve"> لاكتساب رؤية أشمل للعمليات الإدارية الأوروبية التي شكلت عنصرا أساسيا في التكامل الأوروبي لعقود.</w:t>
      </w:r>
    </w:p>
    <w:p>
      <w:pPr/>
      <w:r>
        <w:rPr/>
        <w:t xml:space="preserve"> يشير مصطلح "الإدارة"،</w:t>
      </w:r>
    </w:p>
    <w:p>
      <w:pPr/>
      <w:r>
        <w:rPr>
          <w:shd w:val="clear" w:fill="eeee80"/>
        </w:rPr>
        <w:t xml:space="preserve"> إلى كل من الفعل والتنظيم أو مجموعة المنظمات،</w:t>
      </w:r>
    </w:p>
    <w:p>
      <w:pPr/>
      <w:r>
        <w:rPr>
          <w:shd w:val="clear" w:fill="eeee80"/>
        </w:rPr>
        <w:t xml:space="preserve"> أي مساحة من العلاقات الاجتماعية والمؤسسية المتزامنة التي تتجاوز البنية الإدارية لأي منظمة بعينها.</w:t>
      </w:r>
    </w:p>
    <w:p>
      <w:pPr/>
      <w:r>
        <w:rPr/>
        <w:t xml:space="preserve">فقبل ظهور نظريات الحوكمة والشبكات،</w:t>
      </w:r>
    </w:p>
    <w:p>
      <w:pPr/>
      <w:r>
        <w:rPr>
          <w:shd w:val="clear" w:fill="eeee80"/>
        </w:rPr>
        <w:t xml:space="preserve"> وضع عالم الاجتماع الأكثر استشهادا به في العالم تصورا للحقل البيروقراطي كمساحة اجتماعية لترجمة الشعارات السياسية وتفعيلها في سياسات عامة،</w:t>
      </w:r>
    </w:p>
    <w:p>
      <w:pPr/>
      <w:r>
        <w:rPr/>
        <w:t xml:space="preserve"> متجاوزا بذلك إطار المنظمات الإدارية البحتة وخطابات التبرير المحيطة بها (بورديو،</w:t>
      </w:r>
    </w:p>
    <w:p>
      <w:pPr/>
      <w:r>
        <w:rPr>
          <w:shd w:val="clear" w:fill="eeee80"/>
        </w:rPr>
        <w:t xml:space="preserve"> وبذلك يعد المجال البيروقراطي فضاء اجتماعيا ذو طابع إنساني بقدر ما هو تنظيمي،</w:t>
      </w:r>
    </w:p>
    <w:p>
      <w:pPr/>
      <w:r>
        <w:rPr>
          <w:shd w:val="clear" w:fill="eeee80"/>
        </w:rPr>
        <w:t xml:space="preserve"> يتسم بالتنافس والتعاون بين الأفراد والجماعات التي تتنقل بين الإدارات،</w:t>
      </w:r>
    </w:p>
    <w:p>
      <w:pPr/>
      <w:r>
        <w:rPr>
          <w:shd w:val="clear" w:fill="eeee80"/>
        </w:rPr>
        <w:t xml:space="preserve"> ويشمل في الوقت نفسه التدخل الدائم،</w:t>
      </w:r>
    </w:p>
    <w:p>
      <w:pPr/>
      <w:r>
        <w:rPr>
          <w:shd w:val="clear" w:fill="eeee80"/>
        </w:rPr>
        <w:t xml:space="preserve"> ويشكل هؤلاء مجتمعين شبكة واسعة من العلاقات الأفقية والرأسية (إذ من الواضح أن علاقات القوة حاضرة بقوة)،</w:t>
      </w:r>
    </w:p>
    <w:p>
      <w:pPr/>
      <w:r>
        <w:rPr>
          <w:shd w:val="clear" w:fill="eeee80"/>
        </w:rPr>
        <w:t xml:space="preserve"> ولا يقتصر وجودهم على المجال العام،</w:t>
      </w:r>
    </w:p>
    <w:p>
      <w:pPr/>
      <w:r>
        <w:rPr>
          <w:shd w:val="clear" w:fill="eeee80"/>
        </w:rPr>
        <w:t xml:space="preserve"> وهو تشابكٌ يتفاقم بفعل تأثير النبوءة ذاتية التحقق الذي أفاد نظريات الحوكمة على مدى الثلاثين عامًا الماضية.</w:t>
      </w:r>
    </w:p>
    <w:p>
      <w:pPr/>
      <w:r>
        <w:rPr>
          <w:shd w:val="clear" w:fill="eeee80"/>
        </w:rPr>
        <w:t xml:space="preserve"> بمعزل عن أي إدارة محددة،</w:t>
      </w:r>
    </w:p>
    <w:p>
      <w:pPr/>
      <w:r>
        <w:rPr/>
        <w:t xml:space="preserve"> مفيدا بشكل خاص في حالة الاتحاد الأوروبي.</w:t>
      </w:r>
    </w:p>
    <w:p>
      <w:pPr/>
      <w:r>
        <w:rPr>
          <w:shd w:val="clear" w:fill="eeee80"/>
        </w:rPr>
        <w:t xml:space="preserve"> فالاتحاد الأوروبي لم يسلم من هذا التوجه نحو التعقيد المتزايد فحسب،</w:t>
      </w:r>
    </w:p>
    <w:p>
      <w:pPr/>
      <w:r>
        <w:rPr>
          <w:shd w:val="clear" w:fill="eeee80"/>
        </w:rPr>
        <w:t xml:space="preserve"> في قلب التفاعل المتبادل والتداخل النسبي للحدود بين مؤسسات الاتحاد الأوروبي والإدارات الوطنية والجهات الفاعلة الخاصة وغير الحكومية والمنظمات الدولية.</w:t>
      </w:r>
    </w:p>
    <w:p>
      <w:pPr/>
      <w:r>
        <w:rPr/>
        <w:t xml:space="preserve"> فقبل أن يصبح الاتحاد الأوروبي فضاء سياسيا افتراضيا،</w:t>
      </w:r>
    </w:p>
    <w:p>
      <w:pPr/>
      <w:r>
        <w:rPr>
          <w:shd w:val="clear" w:fill="eeee80"/>
        </w:rPr>
        <w:t xml:space="preserve"> بني كشبكة دائمة من العلاقات التبادلية بين طيف واسع من الإداريين والفاعلين،</w:t>
      </w:r>
    </w:p>
    <w:p>
      <w:pPr/>
      <w:r>
        <w:rPr>
          <w:shd w:val="clear" w:fill="eeee80"/>
        </w:rPr>
        <w:t xml:space="preserve"> يعملون جميعا معا على وضع سياسات مشتركة وإنتاجها وتنفيذها.</w:t>
      </w:r>
    </w:p>
    <w:p>
      <w:pPr/>
      <w:r>
        <w:rPr/>
        <w:t xml:space="preserve"> وهو ما يدعونا في الواقع إلى تجنب أي تصور متسرع للاتحاد الأوروبي كفضاء سياسي. لطالما اختُزِلَ مركز هذا التكامل الإداري وقوته الدافعة،</w:t>
      </w:r>
    </w:p>
    <w:p>
      <w:pPr/>
      <w:r>
        <w:rPr>
          <w:shd w:val="clear" w:fill="eeee80"/>
        </w:rPr>
        <w:t xml:space="preserve"> إلى المفوضية الأوروبية وحدها وعلاقاتها مع الحكومات والإدارات الوطنية.</w:t>
      </w:r>
    </w:p>
    <w:p>
      <w:pPr/>
      <w:r>
        <w:rPr>
          <w:shd w:val="clear" w:fill="eeee80"/>
        </w:rPr>
        <w:t xml:space="preserve"> ومهما بلغت أهمية هذه الجهات الفاعلة الرئيسية،</w:t>
      </w:r>
    </w:p>
    <w:p>
      <w:pPr/>
      <w:r>
        <w:rPr/>
        <w:t xml:space="preserve"> والمعارك التي يبدو أنها تخوضها على القيادة، فإن المركز الحقيقي للاتحاد الأوروبي وقوته الدافعة لا يقتصران على هذه الديناميكية ثنائية الاتجاه. فالإدارات الوطنية ليست، خارجية عن مؤسسات الاتحاد الأوروبي،</w:t>
      </w:r>
    </w:p>
    <w:p>
      <w:pPr/>
      <w:r>
        <w:rPr>
          <w:shd w:val="clear" w:fill="eeee80"/>
        </w:rPr>
        <w:t xml:space="preserve"> ولا يقتصر الأمر على جلوس ممثليها في مختلف هيئات المجلس ولجان المفوضية،</w:t>
      </w:r>
    </w:p>
    <w:p>
      <w:pPr/>
      <w:r>
        <w:rPr>
          <w:shd w:val="clear" w:fill="eeee80"/>
        </w:rPr>
        <w:t xml:space="preserve"> لكنها تُشكّل جوهر شبكة العلاقات والمشاورات الواسعة التي تُبنى عليها السياسات وتُؤثر فيها.</w:t>
      </w:r>
    </w:p>
    <w:p>
      <w:pPr/>
      <w:r>
        <w:rPr>
          <w:shd w:val="clear" w:fill="eeee80"/>
        </w:rPr>
        <w:t xml:space="preserve"> يُحدّد الأساس العملي للاتحاد الأوروبي نطاقًا أوسع من العلاقات حيث يتفاعل يوميًا ممثلو الإدارات الوطنية والمؤسسات والمنظمات المختلفة (لكل منها إدارتها الخاصة،</w:t>
      </w:r>
    </w:p>
    <w:p>
      <w:pPr/>
      <w:r>
        <w:rPr/>
        <w:t xml:space="preserve"> تطور بشكل خاص في السنوات الأخيرة)،</w:t>
      </w:r>
    </w:p>
    <w:p>
      <w:pPr/>
      <w:r>
        <w:rPr>
          <w:shd w:val="clear" w:fill="eeee80"/>
        </w:rPr>
        <w:t xml:space="preserve"> إلى جانب مجموعة واسعة من الممثلين الدائمين نسبيًا للمصالح السياسية والاقتصادية والاجتماعية.</w:t>
      </w:r>
    </w:p>
    <w:p>
      <w:pPr/>
      <w:r>
        <w:rPr/>
        <w:t xml:space="preserve"> يُضاف إلى ذلك "البيروقراطيات الأوروبية الجديدة" التي حددها العديد من الباحثين (Geuijen et al. وفقًا لدان كيليمن (Kelemen and Tarrant,</w:t>
      </w:r>
    </w:p>
    <w:p>
      <w:pPr/>
      <w:r>
        <w:rPr>
          <w:shd w:val="clear" w:fill="eeee80"/>
        </w:rPr>
        <w:t xml:space="preserve"> والتي تُعيد تشكيل العلاقة بين المفوضية والإدارات الوطنية بشكلٍ جوهري،</w:t>
      </w:r>
    </w:p>
    <w:p>
      <w:pPr/>
      <w:r>
        <w:rPr>
          <w:shd w:val="clear" w:fill="eeee80"/>
        </w:rPr>
        <w:t xml:space="preserve"> أو تلك الناجمة عن تخصص الإدارات الوطنية،</w:t>
      </w:r>
    </w:p>
    <w:p>
      <w:pPr/>
      <w:r>
        <w:rPr>
          <w:shd w:val="clear" w:fill="eeee80"/>
        </w:rPr>
        <w:t xml:space="preserve"> والتي تشمل جميع البرامج الشاملة أو حتى الثنائية العاملة ضمن الإطار الأوروبي،</w:t>
      </w:r>
    </w:p>
    <w:p>
      <w:pPr/>
      <w:r>
        <w:rPr/>
        <w:t xml:space="preserve"> والتي تُذكرنا بأن ليس كل شيء في هذه التبادلات يمر بالضرورة عبر بروكسل.</w:t>
      </w:r>
    </w:p>
    <w:p>
      <w:pPr/>
      <w:r>
        <w:rPr>
          <w:shd w:val="clear" w:fill="eeee80"/>
        </w:rPr>
        <w:t xml:space="preserve"> يُذكرنا بأن التعقيد المنسوب إلى أوروبا لا ينبع فقط من قواعدها الدستورية،</w:t>
      </w:r>
    </w:p>
    <w:p>
      <w:pPr/>
      <w:r>
        <w:rPr/>
        <w:t xml:space="preserve"> بل من شبكة العلاقات البشرية والمهنية (وأحيانًا من تدفقات البيانات) التي أوجدتها هذه القواعد، ينبع هذا من دقة التسويات المتراكمة (أو ما يُمكن تسميته،</w:t>
      </w:r>
    </w:p>
    <w:p>
      <w:pPr/>
      <w:r>
        <w:rPr>
          <w:shd w:val="clear" w:fill="eeee80"/>
        </w:rPr>
        <w:t xml:space="preserve"> بالاستثمارات الشكلية)،</w:t>
      </w:r>
    </w:p>
    <w:p>
      <w:pPr/>
      <w:r>
        <w:rPr>
          <w:shd w:val="clear" w:fill="eeee80"/>
        </w:rPr>
        <w:t xml:space="preserve"> والناتجة عن هذه العلاقات والصراعات الرامية إلى التأثير في صياغة التوافق التكنوسياسي الذي يُمثل جوهر هذه العمليات.</w:t>
      </w:r>
    </w:p>
    <w:p>
      <w:pPr/>
      <w:r>
        <w:rPr/>
        <w:t xml:space="preserve"> يتضمن هذا المنظور التفكير في التكامل لا من خلال التمنيات التي تُمليها مطالب حسنة النية،</w:t>
      </w:r>
    </w:p>
    <w:p>
      <w:pPr/>
      <w:r>
        <w:rPr>
          <w:shd w:val="clear" w:fill="eeee80"/>
        </w:rPr>
        <w:t xml:space="preserve"> بتحقيق قفزة سياسية أو اتحادية أو اجتماعية لأوروبا،</w:t>
      </w:r>
    </w:p>
    <w:p>
      <w:pPr/>
      <w:r>
        <w:rPr>
          <w:shd w:val="clear" w:fill="eeee80"/>
        </w:rPr>
        <w:t xml:space="preserve"> بل من منظور الإدارات نفسها - أي البنية الملموسة التي تتجلى فيها علاقات التنافس المعقدة على السلطة في الجهاز،</w:t>
      </w:r>
    </w:p>
    <w:p>
      <w:pPr/>
      <w:r>
        <w:rPr/>
        <w:t xml:space="preserve"> يُمكن بسهولة دمج إرث بورديو مع إرث ج. أولسن لفهم كيفية بناء أوروبا من خلال الإدارة وفرض فئات فكرية هجينة،</w:t>
      </w:r>
    </w:p>
    <w:p>
      <w:pPr/>
      <w:r>
        <w:rPr>
          <w:shd w:val="clear" w:fill="eeee80"/>
        </w:rPr>
        <w:t xml:space="preserve"> فعلى الأقل ضمن عقلية من يحكمونهم.</w:t>
      </w:r>
    </w:p>
    <w:p>
      <w:pPr/>
      <w:r>
        <w:rPr>
          <w:shd w:val="clear" w:fill="eeee80"/>
        </w:rPr>
        <w:t xml:space="preserve"> تختلف الأساليب والتوازن المُتبع بين السلطة المؤسسية والقوى الاجتماعية والرمزية التي يمتلكها الفاعلون من كاتب لآخر من هؤلاء الرواد العظام.</w:t>
      </w:r>
    </w:p>
    <w:p>
      <w:pPr/>
      <w:r>
        <w:rPr/>
        <w:t xml:space="preserve"> لا شك أن تبني منظور (أو بالأحرى،</w:t>
      </w:r>
    </w:p>
    <w:p>
      <w:pPr/>
      <w:r>
        <w:rPr>
          <w:shd w:val="clear" w:fill="eeee80"/>
        </w:rPr>
        <w:t xml:space="preserve"> مجموعة من وجهات النظر من مصادر مختلفة) حول المجال برمته،</w:t>
      </w:r>
    </w:p>
    <w:p>
      <w:pPr/>
      <w:r>
        <w:rPr/>
        <w:t xml:space="preserve"> بدلاً من التركيز على مؤسسة واحدة، سيمنحنا فرصة أفضل لفهم الظروف الإدارية التي ستسمح أو تعيق التغييرات الجارية،</w:t>
      </w:r>
    </w:p>
    <w:p>
      <w:pPr/>
      <w:r>
        <w:rPr>
          <w:shd w:val="clear" w:fill="eeee80"/>
        </w:rPr>
        <w:t xml:space="preserve"> فهم ما يحدث في الوقت الراهن والتوجه السياسي الذي يجري تحديده.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2026-08-17T14:13:55+00:00</dcterms:created>
  <dcterms:modified xsi:type="dcterms:W3CDTF">2026-08-17T14:13:55+00:00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