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هي الخطوة التالية عندما يتعلق الأمر بحظر الاتحاد الأوروبي للمواد البلاستيكية؟ </w:t>
      </w:r>
    </w:p>
    <w:p>
      <w:pPr/>
      <w:r>
        <w:rPr/>
        <w:t xml:space="preserve">على المستوى المحلي، يجب على كل دولة عضو في الاتحاد الأوروبي اتخاذ إجراءات لتقليل استخدام الأكواب وحاويات الوجبات الجاهزة ذات الاستخدام الواحد. وربما يتعين على الدول الأعضاء الفردية أن تفكر في فرض رسوم على المواد البلاستيكية ذات الاستخدام الواحد، وفرض قيود على السوق، مثل حظر استخدام المواد البلاستيكية التي تستخدم لمرة واحدة في الموقع، واعتماد البدائل القابلة لإعادة الاستخدام والترويج لها.اعتبارًا من يوليو 2024، ستدخل قواعد جديدة للزجاجات البلاستيكية وحاويات المشروبات (على سبيل المثال، البيرة والعصائر والحليب وما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2026-09-29T23:42:52+00:00</dcterms:created>
  <dcterms:modified xsi:type="dcterms:W3CDTF">2026-09-29T23:42:52+00:00</dcterms:modified>
</cp:coreProperties>
</file>

<file path=docProps/custom.xml><?xml version="1.0" encoding="utf-8"?>
<Properties xmlns="http://schemas.openxmlformats.org/officeDocument/2006/custom-properties" xmlns:vt="http://schemas.openxmlformats.org/officeDocument/2006/docPropsVTypes"/>
</file>