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والأوقاف والتبرعات .- العوائد الاستثمارية من أموال الجمعية .ه - ما يقرر لها من إعانات حكومية .٦ - ما يخصصه الصندوق من دعم لبرامجها وتطويرها .- الموارد المالية التي تحققها الجمعية من خلال إدارتها لمؤسسة تابعة لإحدى الجهات الحكومية أو الخاصة، أو تنفيذ بعض مشروعاتها أو برامجها وفقا للمادة (السابعة والعشرين) من النظام .- الزكاة : للجمعيات التي يشتمل نشاطها على مصارف للزكاة (المادة الثانية عشرة) .ومن الملاحظ بأن لكل جمعية في تشكيلها ما يعرف بالجمعية العمومية ومن أهم ملامح تشكيلها :</w:t>
      </w:r>
    </w:p>
    <w:p>
      <w:pPr/>
      <w:r>
        <w:rPr>
          <w:shd w:val="clear" w:fill="eeee80"/>
        </w:rPr>
        <w:t xml:space="preserve">۱ - تتكون الجمعية العمومية من الأعضاء المؤسسين والأعضاء الذين مضت على عضويتهم في الجمعية ستة أشهر على الأقل ،</w:t>
      </w:r>
    </w:p>
    <w:p>
      <w:pPr/>
      <w:r>
        <w:rPr/>
        <w:t xml:space="preserve"> وتاريخه، وساعة انعقاده،</w:t>
      </w:r>
    </w:p>
    <w:p>
      <w:pPr/>
      <w:r>
        <w:rPr>
          <w:shd w:val="clear" w:fill="eeee80"/>
        </w:rPr>
        <w:t xml:space="preserve"> على أن تبلغ الوزارة والجهة المشرفة وأعضاء الجمعية بالدعوة قبل الموعد المحدد بخمسة عشر يوما على الأقل ،</w:t>
      </w:r>
    </w:p>
    <w:p>
      <w:pPr/>
      <w:r>
        <w:rPr>
          <w:shd w:val="clear" w:fill="eeee80"/>
        </w:rPr>
        <w:t xml:space="preserve"> ويجوز للوزارة وللجهة المشرفة ندب من يمثلها لحضور الاجتماع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2026-08-25T06:16:38+00:00</dcterms:created>
  <dcterms:modified xsi:type="dcterms:W3CDTF">2026-08-25T06:16:38+00:00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