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المراد بعدالة الرواة: أي أن 1-كل راو من رواته قد اتصف بكونه (مسلم،</w:t>
      </w:r>
    </w:p>
    <w:p>
      <w:pPr/>
      <w:r>
        <w:rPr>
          <w:shd w:val="clear" w:fill="eeee80"/>
        </w:rPr>
        <w:t xml:space="preserve"> ولا مصر على صغيرة من الذنوب والمعاصي</w:t>
      </w:r>
    </w:p>
    <w:p>
      <w:pPr/>
      <w:r>
        <w:rPr>
          <w:shd w:val="clear" w:fill="eeee80"/>
        </w:rPr>
        <w:t xml:space="preserve">2-ويكون سالما مما يخل بالمروءة،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2026-08-18T17:47:06+00:00</dcterms:created>
  <dcterms:modified xsi:type="dcterms:W3CDTF">2026-08-18T17:47:06+00:00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