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المراد بعدالة الرواة: أي أن 1-كل راو من رواته قد اتصف بكونه (مسلم،</w:t>
      </w:r>
    </w:p>
    <w:p>
      <w:pPr/>
      <w:r>
        <w:rPr>
          <w:shd w:val="clear" w:fill="eeee80"/>
        </w:rPr>
        <w:t xml:space="preserve"> ولا مصر على صغيرة من الذنوب والمعاصي</w:t>
      </w:r>
    </w:p>
    <w:p>
      <w:pPr/>
      <w:r>
        <w:rPr>
          <w:shd w:val="clear" w:fill="eeee80"/>
        </w:rPr>
        <w:t xml:space="preserve">2-ويكون سالما مما يخل بالمروءة،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2026-09-20T13:40:50+00:00</dcterms:created>
  <dcterms:modified xsi:type="dcterms:W3CDTF">2026-09-20T13:40:50+00:00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