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Tuthmosis III began his reign as king in name only; Because she was too young to rule when his father died, as his stepmother Hatshepsut played the role of regent for the throne for several years, then she officially left herself king.Thutmose III became one of the warrior kings of the state, and after the death of Hatshepsut, he launched a series of modern military campaigns that strengthened Egypt's position as one of the great powers in the ancient world. </w:t>
      </w:r>
    </w:p>
    <w:p>
      <w:pPr/>
      <w:r>
        <w:rPr>
          <w:shd w:val="clear" w:fill="eeee80"/>
        </w:rPr>
        <w:t xml:space="preserve">His famous battle at Megiddo is considered a model of military planning.</w:t>
      </w:r>
    </w:p>
    <w:p>
      <w:pPr/>
      <w:r>
        <w:rPr>
          <w:shd w:val="clear" w:fill="eeee80"/>
        </w:rPr>
        <w:t xml:space="preserve">The mummy of King Tuthmosis III was found in a cedar wood coffin in the environment of Deir el-Bahari in 1881.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2026-09-28T16:58:49+00:00</dcterms:created>
  <dcterms:modified xsi:type="dcterms:W3CDTF">2026-09-28T16:58:49+00:00</dcterms:modified>
</cp:coreProperties>
</file>

<file path=docProps/custom.xml><?xml version="1.0" encoding="utf-8"?>
<Properties xmlns="http://schemas.openxmlformats.org/officeDocument/2006/custom-properties" xmlns:vt="http://schemas.openxmlformats.org/officeDocument/2006/docPropsVTypes"/>
</file>