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ممهدات  في النصف الثاني من القرن الخامس عشر والقرن السادس عشر،  في العمق،  الذي ميز تقريبا كل الحضارات الإنسانية إلى غاية القرن الخامس عشر،  يقول جون دوليمو في كتابه "حضارة النهضة": "تعني كلمة نهضة في إطار التاريخ الشامل،  ارتقاء حضارة أوربا وتمكنها من تجاوز الحضارات الموازية لها.  وتوسيع استعمال الكمبيالة والتأمين الملاحي.  ابتداءً من هذه الفترة،  عوامل متعددة مكنت من تغيير واقع الاقتصاد والمجتمع والسياسة والفكر والدين،  بعدا كونيا". إن الانفتاح على العالم بفضل الكشوفات الجغرافية،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2026-10-07T17:53:31+00:00</dcterms:created>
  <dcterms:modified xsi:type="dcterms:W3CDTF">2026-10-07T17:53:31+00:00</dcterms:modified>
</cp:coreProperties>
</file>

<file path=docProps/custom.xml><?xml version="1.0" encoding="utf-8"?>
<Properties xmlns="http://schemas.openxmlformats.org/officeDocument/2006/custom-properties" xmlns:vt="http://schemas.openxmlformats.org/officeDocument/2006/docPropsVTypes"/>
</file>