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private stelae during this period can be observed through the changing artistic style.</w:t>
      </w:r>
    </w:p>
    <w:p>
      <w:pPr/>
      <w:r>
        <w:rPr/>
        <w:t xml:space="preserve"> Initially, the stelae followed traditional Egyptian artistic conventions, with figures depicted in a more formal and rigid manner. However, as the Amarna Period progressed, the artistic style shifted towards a more naturalistic and relaxed representation.</w:t>
      </w:r>
    </w:p>
    <w:p>
      <w:pPr/>
      <w:r>
        <w:rPr>
          <w:shd w:val="clear" w:fill="eeee80"/>
        </w:rPr>
        <w:t xml:space="preserve">Figures were depicted with elongated proportions, flowing garments, and a sense of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2026-10-10T08:31:41+00:00</dcterms:created>
  <dcterms:modified xsi:type="dcterms:W3CDTF">2026-10-10T08:31:41+00:00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