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In summary.</w:t>
      </w:r>
    </w:p>
    <w:p>
      <w:pPr/>
      <w:r>
        <w:rPr/>
        <w:t xml:space="preserve"> criminal law is integral to the enforcement of unilateral administrative acts as it establishes a legal basis for penalizing violations thereby promoting compliance and protecting the public interest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2026-09-13T08:38:26+00:00</dcterms:created>
  <dcterms:modified xsi:type="dcterms:W3CDTF">2026-09-13T08:38:26+00:00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