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خامساً: العلاقة بين الفقه الإسلامي والقانون</w:t>
      </w:r>
    </w:p>
    <w:p>
      <w:pPr/>
      <w:r>
        <w:rPr/>
        <w:t xml:space="preserve">توجد علاقة وثيقة بين الفقه الإسلامي والقانون،</w:t>
      </w:r>
    </w:p>
    <w:p>
      <w:pPr/>
      <w:r>
        <w:rPr>
          <w:shd w:val="clear" w:fill="eeee80"/>
        </w:rPr>
        <w:t xml:space="preserve"> فكلاهما يهدف إلى تنظيم سلوك الأفراد داخل المجتمع،</w:t>
      </w:r>
    </w:p>
    <w:p>
      <w:pPr/>
      <w:r>
        <w:rPr>
          <w:shd w:val="clear" w:fill="eeee80"/>
        </w:rPr>
        <w:t xml:space="preserve"> وتحقيق العدالة والاستقرار.</w:t>
      </w:r>
    </w:p>
    <w:p>
      <w:pPr/>
      <w:r>
        <w:rPr>
          <w:shd w:val="clear" w:fill="eeee80"/>
        </w:rPr>
        <w:t xml:space="preserve">فالفقه الإسلامي يتضمن أحكاماً تتعلق بالمعاملات المالية والعقود والملكية والزواج والطلاق والميراث وغيرها من المسائل التي تدخل ضمن موضوعات القانون.</w:t>
      </w:r>
    </w:p>
    <w:p>
      <w:pPr/>
      <w:r>
        <w:rPr/>
        <w:t xml:space="preserve">كما أن الفقه الإسلامي يُعدّ مصدراً مهماً من مصادر التشريع في عدد من الأنظمة القانونية،</w:t>
      </w:r>
    </w:p>
    <w:p>
      <w:pPr/>
      <w:r>
        <w:rPr>
          <w:shd w:val="clear" w:fill="eeee80"/>
        </w:rPr>
        <w:t xml:space="preserve"> وقد استفادت بعض القوانين الوضعية من المبادئ والأحكام التي قررها الفقه الإسلامي،</w:t>
      </w:r>
    </w:p>
    <w:p>
      <w:pPr/>
      <w:r>
        <w:rPr/>
        <w:t xml:space="preserve">ومع ذلك، يوجد اختلاف بينهما من حيث المصدر؛</w:t>
      </w:r>
    </w:p>
    <w:p>
      <w:pPr/>
      <w:r>
        <w:rPr>
          <w:shd w:val="clear" w:fill="eeee80"/>
        </w:rPr>
        <w:t xml:space="preserve"> فالفقه الإسلامي يستند إلى مصادر الشريعة الإسلامية،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2026-11-08T22:44:07+00:00</dcterms:created>
  <dcterms:modified xsi:type="dcterms:W3CDTF">2026-11-08T22:44:07+00:00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