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تقديم التقرير اليوم إلى مجلس حقوق الإنسان التابع للأمم المتحدة من قِبل "مواطنة لحقوق الإنسان" وعيادة سميث لحقوق الإنسان التابعة لكلية الحقوق بجامعة كولومبيا.  كما أوضح التقرير أنه لم تتخذ أي جهود لتقديم تعويضات للضحايا المتضررين من هذه الانتهاكات.  بل عملت أيضًا على عرقلة الجهود الدولية للتحقيق في هذه الانتهاكات في اليمن".  مديرة مشروع النزاع المسلح ومكافحة الإرهاب وحقوق الإنسان في معهد حقوق الإنسان في كلية الحقوق بجامعة كولومبيا: "لقد سعت المملكة العربية السعودية إلى تحقيق هدف الإفلات من العقاب على أفعالها في اليمن ،  بما في ذلك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