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Michel Camdessus, the former director of the International Monetary Fund, estimates that money launderingaccounts for between 2% and 5% of the world's GDP, or nearly 600 billion US dollars.</w:t>
      </w:r>
    </w:p>
    <w:p>
      <w:pPr/>
      <w:r>
        <w:rPr/>
        <w:t xml:space="preserve"> In some emerging marketcountries, the revenues from these illegal activities far exceed government budgets, rendering governments unableto control national economic policies. In some countries, the revenues from these illegal activities far exceed thegovernment budget, causing governments to lose control over national economic policies.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2026-08-26T17:29:07+00:00</dcterms:created>
  <dcterms:modified xsi:type="dcterms:W3CDTF">2026-08-26T17:29:07+00:00</dcterms:modified>
</cp:coreProperties>
</file>

<file path=docProps/custom.xml><?xml version="1.0" encoding="utf-8"?>
<Properties xmlns="http://schemas.openxmlformats.org/officeDocument/2006/custom-properties" xmlns:vt="http://schemas.openxmlformats.org/officeDocument/2006/docPropsVTypes"/>
</file>